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2F08" w14:textId="1FBE0617" w:rsidR="004B7CF1" w:rsidRPr="00010906" w:rsidRDefault="004B7CF1" w:rsidP="00492FEC">
      <w:pPr>
        <w:pBdr>
          <w:top w:val="single" w:sz="6" w:space="0" w:color="auto"/>
          <w:left w:val="single" w:sz="6" w:space="0" w:color="auto"/>
          <w:bottom w:val="single" w:sz="6" w:space="1" w:color="auto"/>
          <w:right w:val="single" w:sz="6" w:space="31" w:color="auto"/>
        </w:pBdr>
        <w:ind w:right="142"/>
        <w:jc w:val="center"/>
        <w:rPr>
          <w:b/>
        </w:rPr>
      </w:pPr>
      <w:r w:rsidRPr="00010906">
        <w:rPr>
          <w:u w:val="single"/>
        </w:rPr>
        <w:t>ASUNTO</w:t>
      </w:r>
      <w:r w:rsidRPr="00010906">
        <w:t xml:space="preserve">: </w:t>
      </w:r>
      <w:r w:rsidRPr="00010906">
        <w:rPr>
          <w:b/>
        </w:rPr>
        <w:t>ALEGACIONES EN RELACI</w:t>
      </w:r>
      <w:r w:rsidR="00010906">
        <w:rPr>
          <w:b/>
        </w:rPr>
        <w:t>Ó</w:t>
      </w:r>
      <w:r w:rsidRPr="00010906">
        <w:rPr>
          <w:b/>
        </w:rPr>
        <w:t xml:space="preserve">N CON EL </w:t>
      </w:r>
      <w:r w:rsidR="00105F58" w:rsidRPr="00010906">
        <w:rPr>
          <w:b/>
        </w:rPr>
        <w:t xml:space="preserve">PRIMER </w:t>
      </w:r>
      <w:r w:rsidRPr="00010906">
        <w:rPr>
          <w:b/>
        </w:rPr>
        <w:t>EJERC</w:t>
      </w:r>
      <w:r w:rsidR="00C679A2" w:rsidRPr="00010906">
        <w:rPr>
          <w:b/>
        </w:rPr>
        <w:t>ICIO DE LA FASE DE OPOSICIÓN DE</w:t>
      </w:r>
      <w:r w:rsidR="007E06D6">
        <w:rPr>
          <w:b/>
        </w:rPr>
        <w:t xml:space="preserve"> LA AGRUPACIÓN PROFESIONAL, SUBALTERNOS, </w:t>
      </w:r>
      <w:r w:rsidR="000F5B77">
        <w:rPr>
          <w:b/>
        </w:rPr>
        <w:t xml:space="preserve">DE LA ADMINISTRACIÓN GENERAL DE LA COMUNIDAD AUTÓNOMA DE GALICIA, CELEBRADO EL DÍA </w:t>
      </w:r>
      <w:r w:rsidR="007E06D6">
        <w:rPr>
          <w:b/>
        </w:rPr>
        <w:t>9</w:t>
      </w:r>
      <w:r w:rsidRPr="00010906">
        <w:rPr>
          <w:b/>
        </w:rPr>
        <w:t xml:space="preserve"> DE </w:t>
      </w:r>
      <w:r w:rsidR="00105F58" w:rsidRPr="00010906">
        <w:rPr>
          <w:b/>
        </w:rPr>
        <w:t>JULIO DE 2023</w:t>
      </w:r>
    </w:p>
    <w:p w14:paraId="5A4DF94E" w14:textId="742957BB" w:rsidR="004B7CF1" w:rsidRPr="00010906" w:rsidRDefault="00C679A2" w:rsidP="00492FEC">
      <w:pPr>
        <w:pBdr>
          <w:top w:val="single" w:sz="6" w:space="0" w:color="auto"/>
          <w:left w:val="single" w:sz="6" w:space="0" w:color="auto"/>
          <w:bottom w:val="single" w:sz="6" w:space="1" w:color="auto"/>
          <w:right w:val="single" w:sz="6" w:space="31" w:color="auto"/>
        </w:pBdr>
        <w:ind w:right="142"/>
        <w:jc w:val="center"/>
      </w:pPr>
      <w:r w:rsidRPr="00010906">
        <w:t>(Convocatoria DOG.</w:t>
      </w:r>
      <w:r w:rsidR="004B7CF1" w:rsidRPr="00010906">
        <w:t xml:space="preserve"> núm.</w:t>
      </w:r>
      <w:r w:rsidR="00105F58" w:rsidRPr="00010906">
        <w:t xml:space="preserve"> </w:t>
      </w:r>
      <w:r w:rsidR="007E06D6">
        <w:t>65</w:t>
      </w:r>
      <w:r w:rsidR="004B7CF1" w:rsidRPr="00010906">
        <w:t xml:space="preserve"> de </w:t>
      </w:r>
      <w:r w:rsidR="007E06D6">
        <w:t>4 de abril</w:t>
      </w:r>
      <w:r w:rsidR="00105F58" w:rsidRPr="00010906">
        <w:t xml:space="preserve"> de 2022)</w:t>
      </w:r>
    </w:p>
    <w:p w14:paraId="7C621666" w14:textId="77777777" w:rsidR="004B7CF1" w:rsidRPr="00010906" w:rsidRDefault="004B7CF1" w:rsidP="004B7CF1">
      <w:pPr>
        <w:pStyle w:val="Sangra3detindependiente"/>
        <w:rPr>
          <w:rFonts w:asciiTheme="minorHAnsi" w:hAnsiTheme="minorHAnsi"/>
          <w:sz w:val="22"/>
          <w:szCs w:val="22"/>
        </w:rPr>
      </w:pPr>
    </w:p>
    <w:p w14:paraId="5A024AED" w14:textId="77777777" w:rsidR="004B7CF1" w:rsidRPr="00010906" w:rsidRDefault="004B7CF1" w:rsidP="004B7CF1">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25015A50" w14:textId="690588C5" w:rsidR="004B7CF1" w:rsidRPr="00010906" w:rsidRDefault="00C679A2" w:rsidP="004B7CF1">
      <w:pPr>
        <w:pStyle w:val="Sangra3detindependiente"/>
        <w:rPr>
          <w:rFonts w:asciiTheme="minorHAnsi" w:hAnsiTheme="minorHAnsi"/>
          <w:sz w:val="22"/>
          <w:szCs w:val="22"/>
        </w:rPr>
      </w:pPr>
      <w:r w:rsidRPr="00010906">
        <w:rPr>
          <w:rFonts w:asciiTheme="minorHAnsi" w:hAnsiTheme="minorHAnsi"/>
          <w:sz w:val="22"/>
          <w:szCs w:val="22"/>
        </w:rPr>
        <w:t xml:space="preserve">PARA ACCESO </w:t>
      </w:r>
      <w:r w:rsidR="00B93D3D">
        <w:rPr>
          <w:rFonts w:asciiTheme="minorHAnsi" w:hAnsiTheme="minorHAnsi"/>
          <w:sz w:val="22"/>
          <w:szCs w:val="22"/>
        </w:rPr>
        <w:t>A SUBALTERNO</w:t>
      </w:r>
      <w:r w:rsidR="000F5B77">
        <w:rPr>
          <w:rFonts w:asciiTheme="minorHAnsi" w:hAnsiTheme="minorHAnsi"/>
          <w:sz w:val="22"/>
          <w:szCs w:val="22"/>
        </w:rPr>
        <w:t xml:space="preserve"> DE LA XUNTA ACCESO LIBRE</w:t>
      </w:r>
    </w:p>
    <w:p w14:paraId="3FF27E56" w14:textId="77777777" w:rsidR="004B7CF1" w:rsidRPr="00010906" w:rsidRDefault="004B7CF1" w:rsidP="004B7CF1">
      <w:pPr>
        <w:pStyle w:val="Sangra3detindependiente"/>
        <w:rPr>
          <w:rFonts w:asciiTheme="minorHAnsi" w:hAnsiTheme="minorHAnsi"/>
          <w:sz w:val="22"/>
          <w:szCs w:val="22"/>
        </w:rPr>
      </w:pPr>
    </w:p>
    <w:p w14:paraId="54E589D3" w14:textId="002F9CEB" w:rsidR="004B7CF1" w:rsidRPr="00010906" w:rsidRDefault="004B7CF1" w:rsidP="00C679A2">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w:t>
      </w:r>
      <w:proofErr w:type="spellStart"/>
      <w:r w:rsidRPr="00010906">
        <w:rPr>
          <w:rFonts w:ascii="Calibri" w:hAnsi="Calibri" w:cs="Calibri"/>
        </w:rPr>
        <w:t>nº</w:t>
      </w:r>
      <w:proofErr w:type="spellEnd"/>
      <w:r w:rsidRPr="00010906">
        <w:rPr>
          <w:rFonts w:ascii="Calibri" w:hAnsi="Calibri" w:cs="Calibri"/>
        </w:rPr>
        <w:t xml:space="preserve">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w:t>
      </w:r>
      <w:r w:rsidR="00C679A2" w:rsidRPr="00010906">
        <w:rPr>
          <w:rFonts w:ascii="Calibri" w:hAnsi="Calibri" w:cs="Calibri"/>
        </w:rPr>
        <w:t xml:space="preserve">para el ingreso en </w:t>
      </w:r>
      <w:r w:rsidR="007E06D6">
        <w:rPr>
          <w:rFonts w:ascii="Calibri" w:hAnsi="Calibri" w:cs="Calibri"/>
        </w:rPr>
        <w:t xml:space="preserve">la Agrupación Profesional, Subalterno, </w:t>
      </w:r>
      <w:r w:rsidR="00105F58" w:rsidRPr="00010906">
        <w:rPr>
          <w:rFonts w:ascii="Calibri" w:hAnsi="Calibri" w:cs="Calibri"/>
        </w:rPr>
        <w:t>de la Administración general de la Comunidad Autónoma de Galicia</w:t>
      </w:r>
      <w:r w:rsidR="00FB3FD6" w:rsidRPr="00010906">
        <w:rPr>
          <w:rFonts w:ascii="Calibri" w:hAnsi="Calibri" w:cs="Calibri"/>
        </w:rPr>
        <w:t xml:space="preserve">, </w:t>
      </w:r>
      <w:r w:rsidRPr="00010906">
        <w:rPr>
          <w:rFonts w:ascii="Calibri" w:hAnsi="Calibri" w:cs="Calibri"/>
        </w:rPr>
        <w:t xml:space="preserve">, convocadas en el DOG núm. </w:t>
      </w:r>
      <w:r w:rsidR="007E06D6">
        <w:rPr>
          <w:rFonts w:ascii="Calibri" w:hAnsi="Calibri" w:cs="Calibri"/>
        </w:rPr>
        <w:t>65</w:t>
      </w:r>
      <w:r w:rsidR="00105F58" w:rsidRPr="00010906">
        <w:t xml:space="preserve">, de </w:t>
      </w:r>
      <w:r w:rsidR="007E06D6">
        <w:t>4 de abril</w:t>
      </w:r>
      <w:r w:rsidR="00105F58" w:rsidRPr="00010906">
        <w:t xml:space="preserve"> de 2022</w:t>
      </w:r>
      <w:r w:rsidRPr="00010906">
        <w:rPr>
          <w:rFonts w:ascii="Calibri" w:hAnsi="Calibri" w:cs="Calibri"/>
        </w:rPr>
        <w:t xml:space="preserve">, y en relación con el </w:t>
      </w:r>
      <w:r w:rsidR="00C679A2" w:rsidRPr="00010906">
        <w:rPr>
          <w:rFonts w:ascii="Calibri" w:hAnsi="Calibri" w:cs="Calibri"/>
        </w:rPr>
        <w:t xml:space="preserve">primer </w:t>
      </w:r>
      <w:r w:rsidRPr="00010906">
        <w:rPr>
          <w:rFonts w:ascii="Calibri" w:hAnsi="Calibri" w:cs="Calibri"/>
        </w:rPr>
        <w:t xml:space="preserve">ejercicio de la fase de oposición, realizado el pasado </w:t>
      </w:r>
      <w:r w:rsidR="007E06D6">
        <w:rPr>
          <w:rFonts w:ascii="Calibri" w:hAnsi="Calibri" w:cs="Calibri"/>
        </w:rPr>
        <w:t>9</w:t>
      </w:r>
      <w:r w:rsidR="00105F58" w:rsidRPr="00010906">
        <w:rPr>
          <w:rFonts w:ascii="Calibri" w:hAnsi="Calibri" w:cs="Calibri"/>
        </w:rPr>
        <w:t xml:space="preserve"> de julio de 2023.</w:t>
      </w:r>
    </w:p>
    <w:p w14:paraId="04E542AA" w14:textId="77777777" w:rsidR="004B7CF1" w:rsidRDefault="004B7CF1" w:rsidP="00B004FD">
      <w:pPr>
        <w:spacing w:after="120" w:line="240" w:lineRule="auto"/>
        <w:rPr>
          <w:rFonts w:ascii="Calibri" w:hAnsi="Calibri" w:cs="Calibri"/>
          <w:b/>
        </w:rPr>
      </w:pPr>
      <w:r w:rsidRPr="00010906">
        <w:rPr>
          <w:rFonts w:ascii="Calibri" w:hAnsi="Calibri" w:cs="Calibri"/>
          <w:b/>
        </w:rPr>
        <w:t>EXPONE:</w:t>
      </w:r>
    </w:p>
    <w:p w14:paraId="4CD1F5E0" w14:textId="77777777" w:rsidR="00B004FD" w:rsidRPr="00010906" w:rsidRDefault="00B004FD" w:rsidP="00B004FD">
      <w:pPr>
        <w:spacing w:after="120" w:line="240" w:lineRule="auto"/>
        <w:rPr>
          <w:rFonts w:ascii="Calibri" w:hAnsi="Calibri" w:cs="Calibri"/>
          <w:b/>
        </w:rPr>
      </w:pPr>
    </w:p>
    <w:p w14:paraId="6A3B3385" w14:textId="77777777" w:rsidR="004A6115" w:rsidRDefault="004A6115" w:rsidP="00B004FD">
      <w:pPr>
        <w:tabs>
          <w:tab w:val="left" w:pos="1134"/>
        </w:tabs>
        <w:spacing w:after="120" w:line="240" w:lineRule="auto"/>
        <w:jc w:val="both"/>
        <w:rPr>
          <w:b/>
        </w:rPr>
      </w:pPr>
      <w:r w:rsidRPr="00010906">
        <w:rPr>
          <w:b/>
        </w:rPr>
        <w:t>PRIMERO</w:t>
      </w:r>
    </w:p>
    <w:p w14:paraId="3AC4852B" w14:textId="77777777" w:rsidR="00733E24" w:rsidRPr="00010906" w:rsidRDefault="00733E24" w:rsidP="00B004FD">
      <w:pPr>
        <w:tabs>
          <w:tab w:val="left" w:pos="1134"/>
        </w:tabs>
        <w:spacing w:after="120" w:line="240" w:lineRule="auto"/>
        <w:jc w:val="both"/>
        <w:rPr>
          <w:b/>
        </w:rPr>
      </w:pPr>
    </w:p>
    <w:p w14:paraId="4CC001A6" w14:textId="2FBE20B2" w:rsidR="00733E24" w:rsidRPr="00733E24" w:rsidRDefault="00733E24" w:rsidP="00CE2B3B">
      <w:pPr>
        <w:spacing w:after="120"/>
        <w:jc w:val="both"/>
        <w:rPr>
          <w:b/>
          <w:bCs/>
        </w:rPr>
      </w:pPr>
      <w:r w:rsidRPr="00733E24">
        <w:rPr>
          <w:b/>
          <w:bCs/>
        </w:rPr>
        <w:t>Impugnación pregunta</w:t>
      </w:r>
      <w:r w:rsidR="00B004FD">
        <w:rPr>
          <w:b/>
          <w:bCs/>
        </w:rPr>
        <w:t>s</w:t>
      </w:r>
      <w:r w:rsidRPr="00733E24">
        <w:rPr>
          <w:b/>
          <w:bCs/>
        </w:rPr>
        <w:t xml:space="preserve"> </w:t>
      </w:r>
      <w:r w:rsidR="00CE2B3B">
        <w:rPr>
          <w:b/>
          <w:bCs/>
        </w:rPr>
        <w:t xml:space="preserve">25, 26, </w:t>
      </w:r>
      <w:r w:rsidR="00D54D73">
        <w:rPr>
          <w:b/>
          <w:bCs/>
        </w:rPr>
        <w:t>3</w:t>
      </w:r>
      <w:r w:rsidR="00B004FD">
        <w:rPr>
          <w:b/>
          <w:bCs/>
        </w:rPr>
        <w:t xml:space="preserve">2, 33, </w:t>
      </w:r>
      <w:r w:rsidR="00CE2B3B">
        <w:rPr>
          <w:b/>
          <w:bCs/>
        </w:rPr>
        <w:t xml:space="preserve">38, </w:t>
      </w:r>
      <w:r w:rsidR="00B004FD">
        <w:rPr>
          <w:b/>
          <w:bCs/>
        </w:rPr>
        <w:t>39</w:t>
      </w:r>
      <w:r w:rsidR="00CE2B3B">
        <w:rPr>
          <w:b/>
          <w:bCs/>
        </w:rPr>
        <w:t>,</w:t>
      </w:r>
      <w:r w:rsidR="00B004FD">
        <w:rPr>
          <w:b/>
          <w:bCs/>
        </w:rPr>
        <w:t xml:space="preserve"> 40</w:t>
      </w:r>
      <w:r w:rsidR="00CE2B3B">
        <w:rPr>
          <w:b/>
          <w:bCs/>
        </w:rPr>
        <w:t>, 58 y 59</w:t>
      </w:r>
    </w:p>
    <w:p w14:paraId="0F500C59" w14:textId="77777777" w:rsidR="00CE2B3B" w:rsidRPr="00CE2B3B" w:rsidRDefault="00CE2B3B" w:rsidP="00CE2B3B">
      <w:pPr>
        <w:spacing w:after="0" w:line="240" w:lineRule="auto"/>
        <w:ind w:left="-5"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t xml:space="preserve">25. El director general de Montes y el </w:t>
      </w:r>
      <w:proofErr w:type="spellStart"/>
      <w:r w:rsidRPr="00CE2B3B">
        <w:rPr>
          <w:rFonts w:ascii="Calibri" w:eastAsia="Times New Roman" w:hAnsi="Calibri" w:cs="Calibri"/>
          <w:b/>
          <w:color w:val="000000"/>
          <w:kern w:val="2"/>
          <w:szCs w:val="20"/>
          <w14:ligatures w14:val="standardContextual"/>
        </w:rPr>
        <w:t>conselleiro</w:t>
      </w:r>
      <w:proofErr w:type="spellEnd"/>
      <w:r w:rsidRPr="00CE2B3B">
        <w:rPr>
          <w:rFonts w:ascii="Calibri" w:eastAsia="Times New Roman" w:hAnsi="Calibri" w:cs="Calibri"/>
          <w:b/>
          <w:color w:val="000000"/>
          <w:kern w:val="2"/>
          <w:szCs w:val="20"/>
          <w14:ligatures w14:val="standardContextual"/>
        </w:rPr>
        <w:t xml:space="preserve"> de Medio Rural deben asistir a una reunión en A Coruña pero, debido a un problema mecánico en el vehículo oficial del </w:t>
      </w:r>
      <w:proofErr w:type="spellStart"/>
      <w:r w:rsidRPr="00CE2B3B">
        <w:rPr>
          <w:rFonts w:ascii="Calibri" w:eastAsia="Times New Roman" w:hAnsi="Calibri" w:cs="Calibri"/>
          <w:b/>
          <w:color w:val="000000"/>
          <w:kern w:val="2"/>
          <w:szCs w:val="20"/>
          <w14:ligatures w14:val="standardContextual"/>
        </w:rPr>
        <w:t>conselleiro</w:t>
      </w:r>
      <w:proofErr w:type="spellEnd"/>
      <w:r w:rsidRPr="00CE2B3B">
        <w:rPr>
          <w:rFonts w:ascii="Calibri" w:eastAsia="Times New Roman" w:hAnsi="Calibri" w:cs="Calibri"/>
          <w:b/>
          <w:color w:val="000000"/>
          <w:kern w:val="2"/>
          <w:szCs w:val="20"/>
          <w14:ligatures w14:val="standardContextual"/>
        </w:rPr>
        <w:t xml:space="preserve">, irán en el vehículo oficial del director general. El presidente de la Xunta de Galicia decide que también irá a la reunión, tras la cancelación de un acto que estaba previsto para la misma hora de la reunión en A Coruña, ya que considera que los temas que se van a tratar en la reunión pueden ser de una considerada relevancia. El presidente de la Xunta acudirá a la reunión en el mismo vehículo oficial que el director general y el </w:t>
      </w:r>
      <w:proofErr w:type="spellStart"/>
      <w:r w:rsidRPr="00CE2B3B">
        <w:rPr>
          <w:rFonts w:ascii="Calibri" w:eastAsia="Times New Roman" w:hAnsi="Calibri" w:cs="Calibri"/>
          <w:b/>
          <w:color w:val="000000"/>
          <w:kern w:val="2"/>
          <w:szCs w:val="20"/>
          <w14:ligatures w14:val="standardContextual"/>
        </w:rPr>
        <w:t>conselleiro</w:t>
      </w:r>
      <w:proofErr w:type="spellEnd"/>
      <w:r w:rsidRPr="00CE2B3B">
        <w:rPr>
          <w:rFonts w:ascii="Calibri" w:eastAsia="Times New Roman" w:hAnsi="Calibri" w:cs="Calibri"/>
          <w:b/>
          <w:color w:val="000000"/>
          <w:kern w:val="2"/>
          <w:szCs w:val="20"/>
          <w14:ligatures w14:val="standardContextual"/>
        </w:rPr>
        <w:t xml:space="preserve">. Señale la respuesta correcta: </w:t>
      </w:r>
      <w:r w:rsidRPr="00CE2B3B">
        <w:rPr>
          <w:rFonts w:ascii="Calibri" w:eastAsia="Arial" w:hAnsi="Calibri" w:cs="Calibri"/>
          <w:color w:val="000000"/>
          <w:kern w:val="2"/>
          <w:szCs w:val="20"/>
          <w14:ligatures w14:val="standardContextual"/>
        </w:rPr>
        <w:t xml:space="preserve"> </w:t>
      </w:r>
    </w:p>
    <w:p w14:paraId="0CF669B5" w14:textId="77777777" w:rsidR="00CE2B3B" w:rsidRPr="00CE2B3B" w:rsidRDefault="00CE2B3B" w:rsidP="00CE2B3B">
      <w:pPr>
        <w:numPr>
          <w:ilvl w:val="0"/>
          <w:numId w:val="27"/>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El presidente de la Xunta de Galicia irá en el asiento delantero, al lado del conductor, ya que es la persona de más rango dentro del vehículo.</w:t>
      </w:r>
      <w:r w:rsidRPr="00CE2B3B">
        <w:rPr>
          <w:rFonts w:ascii="Calibri" w:eastAsia="Arial" w:hAnsi="Calibri" w:cs="Calibri"/>
          <w:color w:val="000000"/>
          <w:kern w:val="2"/>
          <w:szCs w:val="20"/>
          <w14:ligatures w14:val="standardContextual"/>
        </w:rPr>
        <w:t xml:space="preserve"> </w:t>
      </w:r>
    </w:p>
    <w:p w14:paraId="64420125" w14:textId="77777777" w:rsidR="00CE2B3B" w:rsidRPr="00CE2B3B" w:rsidRDefault="00CE2B3B" w:rsidP="00CE2B3B">
      <w:pPr>
        <w:numPr>
          <w:ilvl w:val="0"/>
          <w:numId w:val="27"/>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El director general de Montes irá en el asiento trasero, en el lado derecho en el sentido de la marcha del vehículo, ya que están viajando en su vehículo oficial.</w:t>
      </w:r>
      <w:r w:rsidRPr="00CE2B3B">
        <w:rPr>
          <w:rFonts w:ascii="Calibri" w:eastAsia="Arial" w:hAnsi="Calibri" w:cs="Calibri"/>
          <w:color w:val="000000"/>
          <w:kern w:val="2"/>
          <w:szCs w:val="20"/>
          <w14:ligatures w14:val="standardContextual"/>
        </w:rPr>
        <w:t xml:space="preserve"> </w:t>
      </w:r>
    </w:p>
    <w:p w14:paraId="5332D1B7" w14:textId="77777777" w:rsidR="00CE2B3B" w:rsidRPr="00CE2B3B" w:rsidRDefault="00CE2B3B" w:rsidP="00CE2B3B">
      <w:pPr>
        <w:numPr>
          <w:ilvl w:val="0"/>
          <w:numId w:val="27"/>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El </w:t>
      </w:r>
      <w:proofErr w:type="spellStart"/>
      <w:r w:rsidRPr="00CE2B3B">
        <w:rPr>
          <w:rFonts w:ascii="Calibri" w:eastAsia="Times New Roman" w:hAnsi="Calibri" w:cs="Calibri"/>
          <w:color w:val="000000"/>
          <w:kern w:val="2"/>
          <w:szCs w:val="20"/>
          <w14:ligatures w14:val="standardContextual"/>
        </w:rPr>
        <w:t>conselleiro</w:t>
      </w:r>
      <w:proofErr w:type="spellEnd"/>
      <w:r w:rsidRPr="00CE2B3B">
        <w:rPr>
          <w:rFonts w:ascii="Calibri" w:eastAsia="Times New Roman" w:hAnsi="Calibri" w:cs="Calibri"/>
          <w:color w:val="000000"/>
          <w:kern w:val="2"/>
          <w:szCs w:val="20"/>
          <w14:ligatures w14:val="standardContextual"/>
        </w:rPr>
        <w:t xml:space="preserve"> de Medio Rural irá en el asiento trasero, en el lado derecho en el sentido de la marcha del vehículo, ya que ese es el sitio reservado en los vehículos oficiales para los </w:t>
      </w:r>
      <w:proofErr w:type="spellStart"/>
      <w:r w:rsidRPr="00CE2B3B">
        <w:rPr>
          <w:rFonts w:ascii="Calibri" w:eastAsia="Times New Roman" w:hAnsi="Calibri" w:cs="Calibri"/>
          <w:color w:val="000000"/>
          <w:kern w:val="2"/>
          <w:szCs w:val="20"/>
          <w14:ligatures w14:val="standardContextual"/>
        </w:rPr>
        <w:t>conselleiros</w:t>
      </w:r>
      <w:proofErr w:type="spellEnd"/>
      <w:r w:rsidRPr="00CE2B3B">
        <w:rPr>
          <w:rFonts w:ascii="Calibri" w:eastAsia="Times New Roman" w:hAnsi="Calibri" w:cs="Calibri"/>
          <w:color w:val="000000"/>
          <w:kern w:val="2"/>
          <w:szCs w:val="20"/>
          <w14:ligatures w14:val="standardContextual"/>
        </w:rPr>
        <w:t>.</w:t>
      </w:r>
      <w:r w:rsidRPr="00CE2B3B">
        <w:rPr>
          <w:rFonts w:ascii="Calibri" w:eastAsia="Arial" w:hAnsi="Calibri" w:cs="Calibri"/>
          <w:color w:val="000000"/>
          <w:kern w:val="2"/>
          <w:szCs w:val="20"/>
          <w14:ligatures w14:val="standardContextual"/>
        </w:rPr>
        <w:t xml:space="preserve"> </w:t>
      </w:r>
    </w:p>
    <w:p w14:paraId="5FA43B2F" w14:textId="77777777" w:rsidR="00CE2B3B" w:rsidRPr="00CE2B3B" w:rsidRDefault="00CE2B3B" w:rsidP="00CE2B3B">
      <w:pPr>
        <w:numPr>
          <w:ilvl w:val="0"/>
          <w:numId w:val="27"/>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El </w:t>
      </w:r>
      <w:proofErr w:type="spellStart"/>
      <w:r w:rsidRPr="00CE2B3B">
        <w:rPr>
          <w:rFonts w:ascii="Calibri" w:eastAsia="Times New Roman" w:hAnsi="Calibri" w:cs="Calibri"/>
          <w:color w:val="000000"/>
          <w:kern w:val="2"/>
          <w:szCs w:val="20"/>
          <w14:ligatures w14:val="standardContextual"/>
        </w:rPr>
        <w:t>conselleiro</w:t>
      </w:r>
      <w:proofErr w:type="spellEnd"/>
      <w:r w:rsidRPr="00CE2B3B">
        <w:rPr>
          <w:rFonts w:ascii="Calibri" w:eastAsia="Times New Roman" w:hAnsi="Calibri" w:cs="Calibri"/>
          <w:color w:val="000000"/>
          <w:kern w:val="2"/>
          <w:szCs w:val="20"/>
          <w14:ligatures w14:val="standardContextual"/>
        </w:rPr>
        <w:t xml:space="preserve"> de Medio Rural irá en el asiento trasero, en el lado izquierdo en el sentido de la marcha del vehículo, detrás del conductor, ya que por orden de rango es el sitio que le corresponde ocupar en el vehículo. </w:t>
      </w:r>
    </w:p>
    <w:p w14:paraId="3A7F74E2" w14:textId="77777777" w:rsidR="00CE2B3B" w:rsidRPr="00CE2B3B" w:rsidRDefault="00CE2B3B" w:rsidP="00CE2B3B">
      <w:pPr>
        <w:spacing w:after="0" w:line="240" w:lineRule="auto"/>
        <w:ind w:left="720" w:right="3"/>
        <w:contextualSpacing/>
        <w:jc w:val="both"/>
        <w:rPr>
          <w:rFonts w:ascii="Calibri" w:eastAsia="Times New Roman" w:hAnsi="Calibri" w:cs="Calibri"/>
          <w:color w:val="000000"/>
          <w:kern w:val="2"/>
          <w:szCs w:val="20"/>
          <w14:ligatures w14:val="standardContextual"/>
        </w:rPr>
      </w:pPr>
    </w:p>
    <w:p w14:paraId="46B3D0C7"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Se pregunta por el lugar ocupado por unos altos cargos en un vehículo oficial. </w:t>
      </w:r>
    </w:p>
    <w:p w14:paraId="7B5D317D" w14:textId="77777777" w:rsidR="00CE2B3B" w:rsidRPr="00CE2B3B" w:rsidRDefault="00CE2B3B" w:rsidP="00CE2B3B">
      <w:pPr>
        <w:spacing w:after="0" w:line="240" w:lineRule="auto"/>
        <w:ind w:left="10" w:right="3" w:hanging="10"/>
        <w:jc w:val="both"/>
        <w:rPr>
          <w:rFonts w:ascii="Calibri" w:eastAsia="Times New Roman" w:hAnsi="Calibri" w:cs="Calibri"/>
          <w:b/>
          <w:bCs/>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 xml:space="preserve">Impugnación por ser una pregunta fuera de temario. </w:t>
      </w:r>
    </w:p>
    <w:p w14:paraId="41408863"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63BD2118"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El tema 1 de la parte específica se titula:</w:t>
      </w:r>
    </w:p>
    <w:p w14:paraId="69AB7B78" w14:textId="77777777" w:rsidR="00CE2B3B" w:rsidRPr="00CE2B3B" w:rsidRDefault="00CE2B3B" w:rsidP="00CE2B3B">
      <w:pPr>
        <w:spacing w:after="0" w:line="240" w:lineRule="auto"/>
        <w:ind w:left="10" w:right="3" w:hanging="10"/>
        <w:jc w:val="both"/>
        <w:rPr>
          <w:rFonts w:ascii="Calibri" w:eastAsia="Times New Roman" w:hAnsi="Calibri" w:cs="Calibri"/>
          <w:b/>
          <w:bCs/>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TEMA 1 LA ATENCIÓN AL CIUDADANO. RECEPCIÓN Y TELEFONÍA. VIGILANCIA Y CONTROL DE PERSONAS QUE ACCEDAN A LAS DEPENDENCIAS ADMINISTRATIVAS, REUNIONES Y ACTUACIONES DE COMUNICACIÓN: PREPARACIÓN DE LOCALES Y MATERIALES</w:t>
      </w:r>
    </w:p>
    <w:p w14:paraId="72AC9E0E"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En ningún caso, se menciona nada relativo  a cuestiones protocolarias fuera de la preparación de reuniones y actuaciones de comunicación, es decir, preparación de locales y materiales. </w:t>
      </w:r>
    </w:p>
    <w:p w14:paraId="63387BC4"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Además de existir un cuerpo específico destinado a la función de conducción.</w:t>
      </w:r>
    </w:p>
    <w:p w14:paraId="08F0F1A3" w14:textId="77777777" w:rsid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0D2218C0" w14:textId="77777777" w:rsid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04FB0B59"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1E72AF1E" w14:textId="14C36F99" w:rsidR="00CE2B3B" w:rsidRPr="00CE2B3B" w:rsidRDefault="00CE2B3B" w:rsidP="00CE2B3B">
      <w:pPr>
        <w:spacing w:after="0" w:line="240" w:lineRule="auto"/>
        <w:ind w:left="-5"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lastRenderedPageBreak/>
        <w:t>26.</w:t>
      </w:r>
      <w:r>
        <w:rPr>
          <w:rFonts w:ascii="Calibri" w:eastAsia="Times New Roman" w:hAnsi="Calibri" w:cs="Calibri"/>
          <w:b/>
          <w:color w:val="000000"/>
          <w:kern w:val="2"/>
          <w:szCs w:val="20"/>
          <w14:ligatures w14:val="standardContextual"/>
        </w:rPr>
        <w:t xml:space="preserve"> </w:t>
      </w:r>
      <w:r w:rsidRPr="00CE2B3B">
        <w:rPr>
          <w:rFonts w:ascii="Calibri" w:eastAsia="Times New Roman" w:hAnsi="Calibri" w:cs="Calibri"/>
          <w:b/>
          <w:color w:val="000000"/>
          <w:kern w:val="2"/>
          <w:szCs w:val="20"/>
          <w14:ligatures w14:val="standardContextual"/>
        </w:rPr>
        <w:t xml:space="preserve">El </w:t>
      </w:r>
      <w:proofErr w:type="spellStart"/>
      <w:r w:rsidRPr="00CE2B3B">
        <w:rPr>
          <w:rFonts w:ascii="Calibri" w:eastAsia="Times New Roman" w:hAnsi="Calibri" w:cs="Calibri"/>
          <w:b/>
          <w:color w:val="000000"/>
          <w:kern w:val="2"/>
          <w:szCs w:val="20"/>
          <w14:ligatures w14:val="standardContextual"/>
        </w:rPr>
        <w:t>conselleiro</w:t>
      </w:r>
      <w:proofErr w:type="spellEnd"/>
      <w:r w:rsidRPr="00CE2B3B">
        <w:rPr>
          <w:rFonts w:ascii="Calibri" w:eastAsia="Times New Roman" w:hAnsi="Calibri" w:cs="Calibri"/>
          <w:b/>
          <w:color w:val="000000"/>
          <w:kern w:val="2"/>
          <w:szCs w:val="20"/>
          <w14:ligatures w14:val="standardContextual"/>
        </w:rPr>
        <w:t xml:space="preserve"> de Cultura, Educación, Formación Profesional y Universidades va a presidir el acto de inauguración del curso académico de la USC (Universidad de Santiago de Compostela) y nos encargan la colocación de 4 banderas: España, Galicia, Santiago de Compostela y USC.  ¿Cuál será su colocación desde la visión del observador?</w:t>
      </w:r>
      <w:r w:rsidRPr="00CE2B3B">
        <w:rPr>
          <w:rFonts w:ascii="Calibri" w:eastAsia="Arial" w:hAnsi="Calibri" w:cs="Calibri"/>
          <w:color w:val="000000"/>
          <w:kern w:val="2"/>
          <w:szCs w:val="20"/>
          <w14:ligatures w14:val="standardContextual"/>
        </w:rPr>
        <w:t xml:space="preserve"> </w:t>
      </w:r>
    </w:p>
    <w:p w14:paraId="30B4CE84" w14:textId="77777777" w:rsidR="00CE2B3B" w:rsidRPr="00CE2B3B" w:rsidRDefault="00CE2B3B" w:rsidP="00CE2B3B">
      <w:pPr>
        <w:numPr>
          <w:ilvl w:val="0"/>
          <w:numId w:val="28"/>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Galicia – USC – España – Santiago de Compostela. </w:t>
      </w:r>
    </w:p>
    <w:p w14:paraId="236375C5" w14:textId="77777777" w:rsidR="00CE2B3B" w:rsidRPr="00CE2B3B" w:rsidRDefault="00CE2B3B" w:rsidP="00CE2B3B">
      <w:pPr>
        <w:numPr>
          <w:ilvl w:val="0"/>
          <w:numId w:val="28"/>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Santiago de Compostela – España – Galicia – USC. </w:t>
      </w:r>
    </w:p>
    <w:p w14:paraId="39A9DBE9" w14:textId="77777777" w:rsidR="00CE2B3B" w:rsidRPr="00CE2B3B" w:rsidRDefault="00CE2B3B" w:rsidP="00CE2B3B">
      <w:pPr>
        <w:numPr>
          <w:ilvl w:val="0"/>
          <w:numId w:val="28"/>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USC – España – Galicia – Santiago de Compostela. </w:t>
      </w:r>
    </w:p>
    <w:p w14:paraId="44664F36" w14:textId="77777777" w:rsidR="00CE2B3B" w:rsidRPr="00CE2B3B" w:rsidRDefault="00CE2B3B" w:rsidP="00CE2B3B">
      <w:pPr>
        <w:numPr>
          <w:ilvl w:val="0"/>
          <w:numId w:val="28"/>
        </w:numPr>
        <w:spacing w:after="0" w:line="240" w:lineRule="auto"/>
        <w:ind w:right="3"/>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Santiago de Compostela – Galicia – España – USC. </w:t>
      </w:r>
    </w:p>
    <w:p w14:paraId="23F9B518"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3DA51177" w14:textId="77777777" w:rsidR="00CE2B3B" w:rsidRPr="00CE2B3B" w:rsidRDefault="00CE2B3B" w:rsidP="00CE2B3B">
      <w:pPr>
        <w:spacing w:after="0" w:line="240" w:lineRule="auto"/>
        <w:jc w:val="both"/>
        <w:rPr>
          <w:rFonts w:ascii="Calibri" w:eastAsia="Times New Roman" w:hAnsi="Calibri" w:cs="Times New Roman"/>
        </w:rPr>
      </w:pPr>
      <w:r w:rsidRPr="00CE2B3B">
        <w:rPr>
          <w:rFonts w:ascii="Calibri" w:eastAsia="Times New Roman" w:hAnsi="Calibri" w:cs="Times New Roman"/>
        </w:rPr>
        <w:t xml:space="preserve">Se pregunta colocar banderas en un acto de inauguración del curso académico de la USC y nos encargan la colocación de las banderas. </w:t>
      </w:r>
    </w:p>
    <w:p w14:paraId="009BE178" w14:textId="77777777" w:rsidR="00CE2B3B" w:rsidRPr="00CE2B3B" w:rsidRDefault="00CE2B3B" w:rsidP="00CE2B3B">
      <w:pPr>
        <w:spacing w:after="0" w:line="240" w:lineRule="auto"/>
        <w:jc w:val="both"/>
        <w:rPr>
          <w:rFonts w:ascii="Calibri" w:eastAsia="Times New Roman" w:hAnsi="Calibri" w:cs="Times New Roman"/>
        </w:rPr>
      </w:pPr>
    </w:p>
    <w:p w14:paraId="772566E5" w14:textId="77777777" w:rsidR="00CE2B3B" w:rsidRPr="00CE2B3B" w:rsidRDefault="00CE2B3B" w:rsidP="00CE2B3B">
      <w:pPr>
        <w:spacing w:after="0" w:line="240" w:lineRule="auto"/>
        <w:jc w:val="both"/>
        <w:rPr>
          <w:rFonts w:ascii="Calibri" w:eastAsia="Times New Roman" w:hAnsi="Calibri" w:cs="Times New Roman"/>
          <w:b/>
          <w:bCs/>
          <w:u w:val="single"/>
        </w:rPr>
      </w:pPr>
      <w:r w:rsidRPr="00CE2B3B">
        <w:rPr>
          <w:rFonts w:ascii="Calibri" w:eastAsia="Times New Roman" w:hAnsi="Calibri" w:cs="Times New Roman"/>
          <w:b/>
          <w:bCs/>
          <w:u w:val="single"/>
        </w:rPr>
        <w:t>Se tiene en cuenta que el personal subalterno no es personal de la USC. Y que la Universidad puede tener normas propias de aplicación.</w:t>
      </w:r>
    </w:p>
    <w:p w14:paraId="70E96922" w14:textId="77777777" w:rsidR="00CE2B3B" w:rsidRPr="00CE2B3B" w:rsidRDefault="00CE2B3B" w:rsidP="00CE2B3B">
      <w:pPr>
        <w:spacing w:after="0" w:line="240" w:lineRule="auto"/>
        <w:jc w:val="both"/>
        <w:rPr>
          <w:rFonts w:ascii="Calibri" w:eastAsia="Times New Roman" w:hAnsi="Calibri" w:cs="Times New Roman"/>
        </w:rPr>
      </w:pPr>
    </w:p>
    <w:p w14:paraId="4573322A" w14:textId="77777777" w:rsidR="00CE2B3B" w:rsidRPr="00CE2B3B" w:rsidRDefault="00CE2B3B" w:rsidP="00CE2B3B">
      <w:pPr>
        <w:spacing w:after="0" w:line="240" w:lineRule="auto"/>
        <w:jc w:val="both"/>
        <w:rPr>
          <w:rFonts w:ascii="Calibri" w:eastAsia="Times New Roman" w:hAnsi="Calibri" w:cs="Times New Roman"/>
        </w:rPr>
      </w:pPr>
      <w:r w:rsidRPr="00CE2B3B">
        <w:rPr>
          <w:rFonts w:ascii="Calibri" w:eastAsia="Times New Roman" w:hAnsi="Calibri" w:cs="Times New Roman"/>
        </w:rPr>
        <w:t>De todas formas:</w:t>
      </w:r>
    </w:p>
    <w:p w14:paraId="6F5855FD" w14:textId="77777777" w:rsidR="00CE2B3B" w:rsidRPr="00CE2B3B" w:rsidRDefault="00CE2B3B" w:rsidP="00CE2B3B">
      <w:pPr>
        <w:spacing w:after="0" w:line="240" w:lineRule="auto"/>
        <w:jc w:val="both"/>
        <w:rPr>
          <w:rFonts w:ascii="Calibri" w:eastAsia="Times New Roman" w:hAnsi="Calibri" w:cs="Times New Roman"/>
        </w:rPr>
      </w:pPr>
    </w:p>
    <w:p w14:paraId="2AE7B7DC" w14:textId="77777777" w:rsidR="00CE2B3B" w:rsidRPr="00CE2B3B" w:rsidRDefault="00CE2B3B" w:rsidP="00CE2B3B">
      <w:pPr>
        <w:spacing w:after="0" w:line="240" w:lineRule="auto"/>
        <w:jc w:val="both"/>
        <w:rPr>
          <w:rFonts w:ascii="Calibri" w:eastAsia="Times New Roman" w:hAnsi="Calibri" w:cs="Times New Roman"/>
        </w:rPr>
      </w:pPr>
      <w:r w:rsidRPr="00CE2B3B">
        <w:rPr>
          <w:rFonts w:ascii="Calibri" w:eastAsia="Times New Roman" w:hAnsi="Calibri" w:cs="Times New Roman"/>
          <w:b/>
          <w:bCs/>
        </w:rPr>
        <w:t>El art 6.1 de la Ley 5/1984, de 29 de mayo de símbolos de Galicia, establece que:</w:t>
      </w:r>
    </w:p>
    <w:p w14:paraId="16852A99" w14:textId="77777777" w:rsidR="00CE2B3B" w:rsidRPr="00CE2B3B" w:rsidRDefault="00CE2B3B" w:rsidP="00CE2B3B">
      <w:pPr>
        <w:spacing w:after="0" w:line="240" w:lineRule="auto"/>
        <w:jc w:val="both"/>
        <w:rPr>
          <w:rFonts w:ascii="Times New Roman" w:eastAsia="Calibri" w:hAnsi="Times New Roman" w:cs="Times New Roman"/>
          <w:sz w:val="24"/>
          <w:szCs w:val="24"/>
        </w:rPr>
      </w:pPr>
      <w:r w:rsidRPr="00CE2B3B">
        <w:rPr>
          <w:rFonts w:ascii="Calibri" w:eastAsia="Calibri" w:hAnsi="Calibri" w:cs="Calibri"/>
          <w:color w:val="000000"/>
        </w:rPr>
        <w:t xml:space="preserve">"La bandera de Galicia cuando concurra solamente con la bandera de España se situará a su izquierda desde la presidencia si la hubiera, y a la derecha desde el observador. Cuando concurra además con banderas de Ayuntamientos, Diputaciones, o cualquier otra Corporación Pública que utilice bandera propia, la de Galicia se situará a la </w:t>
      </w:r>
      <w:r w:rsidRPr="00CE2B3B">
        <w:rPr>
          <w:rFonts w:ascii="Calibri" w:eastAsia="Calibri" w:hAnsi="Calibri" w:cs="Calibri"/>
          <w:b/>
          <w:bCs/>
          <w:color w:val="000000"/>
          <w:u w:val="single"/>
        </w:rPr>
        <w:t xml:space="preserve">derecha de la de España si el número es impar </w:t>
      </w:r>
      <w:r w:rsidRPr="00CE2B3B">
        <w:rPr>
          <w:rFonts w:ascii="Calibri" w:eastAsia="Calibri" w:hAnsi="Calibri" w:cs="Calibri"/>
          <w:color w:val="000000"/>
        </w:rPr>
        <w:t xml:space="preserve">y a </w:t>
      </w:r>
      <w:r w:rsidRPr="00CE2B3B">
        <w:rPr>
          <w:rFonts w:ascii="Calibri" w:eastAsia="Calibri" w:hAnsi="Calibri" w:cs="Calibri"/>
          <w:b/>
          <w:bCs/>
          <w:color w:val="000000"/>
          <w:u w:val="single"/>
        </w:rPr>
        <w:t>su izquierda si fuese par"</w:t>
      </w:r>
      <w:r w:rsidRPr="00CE2B3B">
        <w:rPr>
          <w:rFonts w:ascii="Calibri" w:eastAsia="Calibri" w:hAnsi="Calibri" w:cs="Calibri"/>
          <w:color w:val="000000"/>
        </w:rPr>
        <w:t>.</w:t>
      </w:r>
      <w:r w:rsidRPr="00CE2B3B">
        <w:rPr>
          <w:rFonts w:ascii="Calibri" w:eastAsia="Calibri" w:hAnsi="Calibri" w:cs="Calibri"/>
          <w:color w:val="000000"/>
        </w:rPr>
        <w:t> </w:t>
      </w:r>
      <w:r w:rsidRPr="00CE2B3B">
        <w:rPr>
          <w:rFonts w:ascii="Calibri" w:eastAsia="Calibri" w:hAnsi="Calibri" w:cs="Calibri"/>
          <w:color w:val="000000"/>
        </w:rPr>
        <w:t xml:space="preserve"> </w:t>
      </w:r>
    </w:p>
    <w:p w14:paraId="0DBFE17D" w14:textId="77777777" w:rsidR="00CE2B3B" w:rsidRPr="00CE2B3B" w:rsidRDefault="00CE2B3B" w:rsidP="00CE2B3B">
      <w:pPr>
        <w:spacing w:after="0" w:line="240" w:lineRule="auto"/>
        <w:jc w:val="both"/>
        <w:rPr>
          <w:rFonts w:ascii="Times New Roman" w:eastAsia="Calibri" w:hAnsi="Times New Roman" w:cs="Times New Roman"/>
          <w:sz w:val="24"/>
          <w:szCs w:val="24"/>
        </w:rPr>
      </w:pPr>
      <w:r w:rsidRPr="00CE2B3B">
        <w:rPr>
          <w:rFonts w:ascii="Calibri" w:eastAsia="Calibri" w:hAnsi="Calibri" w:cs="Calibri"/>
          <w:color w:val="000000"/>
        </w:rPr>
        <w:t xml:space="preserve">Teniendo en cuenta además que la bandera de la USC es una bandera de una institución, las normas aconsejan no colocarlas junto a las oficiales sino a la derecha del estrado. </w:t>
      </w:r>
    </w:p>
    <w:p w14:paraId="153A2AD7" w14:textId="77777777" w:rsidR="00CE2B3B" w:rsidRPr="00CE2B3B" w:rsidRDefault="00CE2B3B" w:rsidP="00CE2B3B">
      <w:pPr>
        <w:spacing w:after="0" w:line="240" w:lineRule="auto"/>
        <w:jc w:val="both"/>
        <w:rPr>
          <w:rFonts w:ascii="Times New Roman" w:eastAsia="Calibri" w:hAnsi="Times New Roman" w:cs="Times New Roman"/>
          <w:sz w:val="24"/>
          <w:szCs w:val="24"/>
        </w:rPr>
      </w:pPr>
      <w:r w:rsidRPr="00CE2B3B">
        <w:rPr>
          <w:rFonts w:ascii="Calibri" w:eastAsia="Calibri" w:hAnsi="Calibri" w:cs="Calibri"/>
          <w:color w:val="000000"/>
        </w:rPr>
        <w:t>Por lo que ninguna de las respuestas proporcionadas sería completamente válida. Al ser tres banderas oficiales, siguiendo el artículo 6.1 de la ley gallega, la de España iría en el centro, la de Galicia estaría a la izquierda del observador, y la de la ciudad de Santiago de Compostela a la izquierda. Y ya a la derecha del estrado, las banderas de las restantes instituciones (entre las que se encontraría la USC).</w:t>
      </w:r>
    </w:p>
    <w:p w14:paraId="738A36F2" w14:textId="77777777" w:rsidR="00CE2B3B" w:rsidRPr="00CE2B3B" w:rsidRDefault="00CE2B3B" w:rsidP="00CE2B3B">
      <w:pPr>
        <w:spacing w:after="0" w:line="240" w:lineRule="auto"/>
        <w:jc w:val="both"/>
        <w:rPr>
          <w:rFonts w:ascii="Times New Roman" w:eastAsia="Calibri" w:hAnsi="Times New Roman" w:cs="Times New Roman"/>
          <w:sz w:val="24"/>
          <w:szCs w:val="24"/>
        </w:rPr>
      </w:pPr>
      <w:r w:rsidRPr="00CE2B3B">
        <w:rPr>
          <w:rFonts w:ascii="Calibri" w:eastAsia="Calibri" w:hAnsi="Calibri" w:cs="Calibri"/>
          <w:color w:val="000000"/>
        </w:rPr>
        <w:t>La respuesta dada por el tribunal parte de que el número de banderas es par. Y esto no es cierto, dado que la bandera de la USC es una bandera institucional.</w:t>
      </w:r>
    </w:p>
    <w:p w14:paraId="186ACEA3" w14:textId="77777777" w:rsidR="00CE2B3B" w:rsidRPr="00CE2B3B" w:rsidRDefault="00CE2B3B" w:rsidP="00CE2B3B">
      <w:pPr>
        <w:spacing w:after="0" w:line="240" w:lineRule="auto"/>
        <w:jc w:val="both"/>
        <w:rPr>
          <w:rFonts w:ascii="Times New Roman" w:eastAsia="Calibri" w:hAnsi="Times New Roman" w:cs="Times New Roman"/>
          <w:sz w:val="24"/>
          <w:szCs w:val="24"/>
        </w:rPr>
      </w:pPr>
      <w:r w:rsidRPr="00CE2B3B">
        <w:rPr>
          <w:rFonts w:ascii="Calibri" w:eastAsia="Calibri" w:hAnsi="Calibri" w:cs="Calibri"/>
          <w:color w:val="000000"/>
        </w:rPr>
        <w:t xml:space="preserve">Tampoco nos indican en el supuesto en dónde se van a colocar las banderas, pues no es lo mismo colocarlos en un mástil que en otro lugar. </w:t>
      </w:r>
    </w:p>
    <w:p w14:paraId="54860C45" w14:textId="77777777" w:rsidR="00CE2B3B" w:rsidRPr="00CE2B3B" w:rsidRDefault="00CE2B3B" w:rsidP="00CE2B3B">
      <w:pPr>
        <w:spacing w:after="0" w:line="240" w:lineRule="auto"/>
        <w:jc w:val="both"/>
        <w:rPr>
          <w:rFonts w:ascii="Times New Roman" w:eastAsia="Calibri" w:hAnsi="Times New Roman" w:cs="Times New Roman"/>
          <w:sz w:val="24"/>
          <w:szCs w:val="24"/>
        </w:rPr>
      </w:pPr>
      <w:r w:rsidRPr="00CE2B3B">
        <w:rPr>
          <w:rFonts w:ascii="Calibri" w:eastAsia="Calibri" w:hAnsi="Calibri" w:cs="Calibri"/>
          <w:color w:val="000000"/>
        </w:rPr>
        <w:t>En cualquier caso, entendemos que está fuera de temario pues no tenemos que conocer cómo se colocan las banderas en un acto oficial de la USC o de otra Universidad.  </w:t>
      </w:r>
    </w:p>
    <w:p w14:paraId="2C6A0B5C"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43863679" w14:textId="77777777" w:rsidR="00CE2B3B" w:rsidRPr="00CE2B3B" w:rsidRDefault="00CE2B3B" w:rsidP="00CE2B3B">
      <w:pPr>
        <w:tabs>
          <w:tab w:val="center" w:pos="8462"/>
        </w:tabs>
        <w:spacing w:after="0" w:line="240" w:lineRule="auto"/>
        <w:ind w:left="-15"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t xml:space="preserve">32. En el momento que una fotocopiadora enciende la luz del símbolo: </w:t>
      </w:r>
      <w:r w:rsidRPr="00CE2B3B">
        <w:rPr>
          <w:rFonts w:ascii="Calibri" w:eastAsia="Times New Roman" w:hAnsi="Calibri" w:cs="Calibri"/>
          <w:b/>
          <w:color w:val="000000"/>
          <w:kern w:val="2"/>
          <w:szCs w:val="20"/>
          <w14:ligatures w14:val="standardContextual"/>
        </w:rPr>
        <w:tab/>
      </w:r>
      <w:r w:rsidRPr="00CE2B3B">
        <w:rPr>
          <w:rFonts w:ascii="Calibri" w:eastAsia="Times New Roman" w:hAnsi="Calibri" w:cs="Calibri"/>
          <w:noProof/>
          <w:color w:val="000000"/>
          <w:kern w:val="2"/>
          <w:szCs w:val="20"/>
          <w14:ligatures w14:val="standardContextual"/>
        </w:rPr>
        <w:drawing>
          <wp:inline distT="0" distB="0" distL="0" distR="0" wp14:anchorId="6697E215" wp14:editId="6BC91B90">
            <wp:extent cx="621665" cy="403225"/>
            <wp:effectExtent l="0" t="0" r="0" b="0"/>
            <wp:docPr id="1138" name="Picture 1138"/>
            <wp:cNvGraphicFramePr/>
            <a:graphic xmlns:a="http://schemas.openxmlformats.org/drawingml/2006/main">
              <a:graphicData uri="http://schemas.openxmlformats.org/drawingml/2006/picture">
                <pic:pic xmlns:pic="http://schemas.openxmlformats.org/drawingml/2006/picture">
                  <pic:nvPicPr>
                    <pic:cNvPr id="1138" name="Picture 1138"/>
                    <pic:cNvPicPr/>
                  </pic:nvPicPr>
                  <pic:blipFill>
                    <a:blip r:embed="rId7"/>
                    <a:stretch>
                      <a:fillRect/>
                    </a:stretch>
                  </pic:blipFill>
                  <pic:spPr>
                    <a:xfrm>
                      <a:off x="0" y="0"/>
                      <a:ext cx="621665" cy="403225"/>
                    </a:xfrm>
                    <a:prstGeom prst="rect">
                      <a:avLst/>
                    </a:prstGeom>
                  </pic:spPr>
                </pic:pic>
              </a:graphicData>
            </a:graphic>
          </wp:inline>
        </w:drawing>
      </w:r>
    </w:p>
    <w:p w14:paraId="0EE49800" w14:textId="77777777" w:rsidR="00CE2B3B" w:rsidRPr="00CE2B3B" w:rsidRDefault="00CE2B3B" w:rsidP="00CE2B3B">
      <w:pPr>
        <w:spacing w:after="0" w:line="240" w:lineRule="auto"/>
        <w:ind w:left="-5"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t>¿qué es lo que tenemos que hacer?</w:t>
      </w:r>
      <w:r w:rsidRPr="00CE2B3B">
        <w:rPr>
          <w:rFonts w:ascii="Calibri" w:eastAsia="Arial" w:hAnsi="Calibri" w:cs="Calibri"/>
          <w:color w:val="000000"/>
          <w:kern w:val="2"/>
          <w:szCs w:val="20"/>
          <w14:ligatures w14:val="standardContextual"/>
        </w:rPr>
        <w:t xml:space="preserve"> </w:t>
      </w:r>
    </w:p>
    <w:p w14:paraId="72A7FBE2" w14:textId="77777777" w:rsidR="00CE2B3B" w:rsidRPr="00CE2B3B" w:rsidRDefault="00CE2B3B" w:rsidP="00CE2B3B">
      <w:pPr>
        <w:numPr>
          <w:ilvl w:val="0"/>
          <w:numId w:val="24"/>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Quitar la grapa atascada.</w:t>
      </w:r>
      <w:r w:rsidRPr="00CE2B3B">
        <w:rPr>
          <w:rFonts w:ascii="Calibri" w:eastAsia="Arial" w:hAnsi="Calibri" w:cs="Calibri"/>
          <w:color w:val="000000"/>
          <w:kern w:val="2"/>
          <w:szCs w:val="20"/>
          <w14:ligatures w14:val="standardContextual"/>
        </w:rPr>
        <w:t xml:space="preserve"> </w:t>
      </w:r>
    </w:p>
    <w:p w14:paraId="3176FCAC" w14:textId="77777777" w:rsidR="00CE2B3B" w:rsidRPr="00CE2B3B" w:rsidRDefault="00CE2B3B" w:rsidP="00CE2B3B">
      <w:pPr>
        <w:numPr>
          <w:ilvl w:val="0"/>
          <w:numId w:val="24"/>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Llenar el cartucho de las grapas, están agotadas. </w:t>
      </w:r>
    </w:p>
    <w:p w14:paraId="3CC817CB" w14:textId="77777777" w:rsidR="00CE2B3B" w:rsidRPr="00CE2B3B" w:rsidRDefault="00CE2B3B" w:rsidP="00CE2B3B">
      <w:pPr>
        <w:numPr>
          <w:ilvl w:val="0"/>
          <w:numId w:val="24"/>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Contactar con el servicio técnico, hay un problema con las grapas. </w:t>
      </w:r>
    </w:p>
    <w:p w14:paraId="6345A142" w14:textId="77777777" w:rsidR="00CE2B3B" w:rsidRPr="00CE2B3B" w:rsidRDefault="00CE2B3B" w:rsidP="00CE2B3B">
      <w:pPr>
        <w:numPr>
          <w:ilvl w:val="0"/>
          <w:numId w:val="24"/>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Colocar correctamente el cartucho de las grapas. </w:t>
      </w:r>
    </w:p>
    <w:p w14:paraId="01484B01" w14:textId="77777777" w:rsidR="00CE2B3B" w:rsidRPr="00CE2B3B" w:rsidRDefault="00CE2B3B" w:rsidP="00CE2B3B">
      <w:pPr>
        <w:spacing w:after="0" w:line="240" w:lineRule="auto"/>
        <w:ind w:left="720" w:right="3" w:hanging="10"/>
        <w:contextualSpacing/>
        <w:jc w:val="both"/>
        <w:rPr>
          <w:rFonts w:ascii="Calibri" w:eastAsia="Times New Roman" w:hAnsi="Calibri" w:cs="Calibri"/>
          <w:color w:val="000000"/>
          <w:kern w:val="2"/>
          <w:szCs w:val="20"/>
          <w14:ligatures w14:val="standardContextual"/>
        </w:rPr>
      </w:pPr>
    </w:p>
    <w:p w14:paraId="4D7219AA"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El símbolo que aparece en la pregunta no es un símbolo estandarizado por todas las marcas de máquinas multifunción. El mayor parque de máquinas multifunción y fotocopiadoras analógicas y digitales de la Xunta son de la marca Konica-Minolta. Ningún modelo tiene este símbolo para anunciar “llenar el cartucho de grapas, están agotadas”.</w:t>
      </w:r>
    </w:p>
    <w:p w14:paraId="2D4F605B" w14:textId="289D0285" w:rsidR="00CE2B3B" w:rsidRDefault="00CE2B3B" w:rsidP="00CE2B3B">
      <w:pPr>
        <w:jc w:val="both"/>
        <w:rPr>
          <w:rFonts w:ascii="Calibri" w:eastAsia="Times New Roman" w:hAnsi="Calibri" w:cs="Calibri"/>
          <w:color w:val="000000"/>
          <w:kern w:val="2"/>
          <w:szCs w:val="20"/>
          <w14:ligatures w14:val="standardContextual"/>
        </w:rPr>
      </w:pPr>
      <w:r>
        <w:rPr>
          <w:rFonts w:ascii="Calibri" w:eastAsia="Times New Roman" w:hAnsi="Calibri" w:cs="Calibri"/>
          <w:color w:val="000000"/>
          <w:kern w:val="2"/>
          <w:szCs w:val="20"/>
          <w14:ligatures w14:val="standardContextual"/>
        </w:rPr>
        <w:br w:type="page"/>
      </w:r>
    </w:p>
    <w:p w14:paraId="593060F1" w14:textId="77777777" w:rsidR="00CE2B3B" w:rsidRPr="00CE2B3B" w:rsidRDefault="00CE2B3B" w:rsidP="00CE2B3B">
      <w:pPr>
        <w:spacing w:after="0" w:line="240" w:lineRule="auto"/>
        <w:ind w:left="-5"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t>33. Juan, subalterno de la Xunta de Galicia, tiene que hacer unas fotocopias y al llegar junto a la fotocopiadora se da cuenta de que la pantalla está apagada. ¿Qué deberá hacer Juan?</w:t>
      </w:r>
      <w:r w:rsidRPr="00CE2B3B">
        <w:rPr>
          <w:rFonts w:ascii="Calibri" w:eastAsia="Arial" w:hAnsi="Calibri" w:cs="Calibri"/>
          <w:color w:val="000000"/>
          <w:kern w:val="2"/>
          <w:szCs w:val="20"/>
          <w14:ligatures w14:val="standardContextual"/>
        </w:rPr>
        <w:t xml:space="preserve"> </w:t>
      </w:r>
    </w:p>
    <w:p w14:paraId="3003EE3F" w14:textId="77777777" w:rsidR="00CE2B3B" w:rsidRPr="00CE2B3B" w:rsidRDefault="00CE2B3B" w:rsidP="00CE2B3B">
      <w:pPr>
        <w:numPr>
          <w:ilvl w:val="0"/>
          <w:numId w:val="25"/>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Comprobar el cable de conexión de la fotocopiadora.</w:t>
      </w:r>
      <w:r w:rsidRPr="00CE2B3B">
        <w:rPr>
          <w:rFonts w:ascii="Calibri" w:eastAsia="Calibri" w:hAnsi="Calibri" w:cs="Calibri"/>
          <w:color w:val="000000"/>
          <w:kern w:val="2"/>
          <w:szCs w:val="20"/>
          <w14:ligatures w14:val="standardContextual"/>
        </w:rPr>
        <w:t xml:space="preserve"> </w:t>
      </w:r>
    </w:p>
    <w:p w14:paraId="21D7A18F" w14:textId="77777777" w:rsidR="00CE2B3B" w:rsidRPr="00CE2B3B" w:rsidRDefault="00CE2B3B" w:rsidP="00CE2B3B">
      <w:pPr>
        <w:numPr>
          <w:ilvl w:val="0"/>
          <w:numId w:val="25"/>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Comprobar que el interruptor de la alimentación de la fotocopiadora está conectado.</w:t>
      </w:r>
      <w:r w:rsidRPr="00CE2B3B">
        <w:rPr>
          <w:rFonts w:ascii="Calibri" w:eastAsia="Calibri" w:hAnsi="Calibri" w:cs="Calibri"/>
          <w:color w:val="000000"/>
          <w:kern w:val="2"/>
          <w:szCs w:val="20"/>
          <w14:ligatures w14:val="standardContextual"/>
        </w:rPr>
        <w:t xml:space="preserve"> </w:t>
      </w:r>
    </w:p>
    <w:p w14:paraId="685DA70A" w14:textId="77777777" w:rsidR="00CE2B3B" w:rsidRPr="00CE2B3B" w:rsidRDefault="00CE2B3B" w:rsidP="00CE2B3B">
      <w:pPr>
        <w:numPr>
          <w:ilvl w:val="0"/>
          <w:numId w:val="25"/>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Comprobar que la fotocopiadora no está en la opción “ahorro de energía”.</w:t>
      </w:r>
      <w:r w:rsidRPr="00CE2B3B">
        <w:rPr>
          <w:rFonts w:ascii="Calibri" w:eastAsia="Calibri" w:hAnsi="Calibri" w:cs="Calibri"/>
          <w:color w:val="000000"/>
          <w:kern w:val="2"/>
          <w:szCs w:val="20"/>
          <w14:ligatures w14:val="standardContextual"/>
        </w:rPr>
        <w:t xml:space="preserve"> </w:t>
      </w:r>
    </w:p>
    <w:p w14:paraId="6BDE1E65" w14:textId="77777777" w:rsidR="00CE2B3B" w:rsidRPr="00CE2B3B" w:rsidRDefault="00CE2B3B" w:rsidP="00CE2B3B">
      <w:pPr>
        <w:numPr>
          <w:ilvl w:val="0"/>
          <w:numId w:val="25"/>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Llamar al servicio técnico ya que Juan no va a poder solucionar el problema. </w:t>
      </w:r>
    </w:p>
    <w:p w14:paraId="4340FAE2" w14:textId="77777777" w:rsidR="00CE2B3B" w:rsidRPr="00CE2B3B" w:rsidRDefault="00CE2B3B" w:rsidP="00CE2B3B">
      <w:pPr>
        <w:spacing w:after="0" w:line="240" w:lineRule="auto"/>
        <w:ind w:left="720" w:right="3" w:hanging="10"/>
        <w:contextualSpacing/>
        <w:jc w:val="both"/>
        <w:rPr>
          <w:rFonts w:ascii="Calibri" w:eastAsia="Times New Roman" w:hAnsi="Calibri" w:cs="Calibri"/>
          <w:color w:val="000000"/>
          <w:kern w:val="2"/>
          <w:szCs w:val="20"/>
          <w14:ligatures w14:val="standardContextual"/>
        </w:rPr>
      </w:pPr>
    </w:p>
    <w:p w14:paraId="2EE5830C"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El tribunal da como correcta la c) Comprobar que la fotocopiadora </w:t>
      </w:r>
      <w:r w:rsidRPr="00CE2B3B">
        <w:rPr>
          <w:rFonts w:ascii="Calibri" w:eastAsia="Times New Roman" w:hAnsi="Calibri" w:cs="Calibri"/>
          <w:b/>
          <w:bCs/>
          <w:color w:val="000000"/>
          <w:kern w:val="2"/>
          <w:szCs w:val="20"/>
          <w14:ligatures w14:val="standardContextual"/>
        </w:rPr>
        <w:t xml:space="preserve">no </w:t>
      </w:r>
      <w:r w:rsidRPr="00CE2B3B">
        <w:rPr>
          <w:rFonts w:ascii="Calibri" w:eastAsia="Times New Roman" w:hAnsi="Calibri" w:cs="Calibri"/>
          <w:color w:val="000000"/>
          <w:kern w:val="2"/>
          <w:szCs w:val="20"/>
          <w14:ligatures w14:val="standardContextual"/>
        </w:rPr>
        <w:t>está en la opción “ahorro de energía”</w:t>
      </w:r>
    </w:p>
    <w:p w14:paraId="35E1401F"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Entiendo que las opción b) Comprobar que el interruptor de la alimentación de la fotocopiadora está conectado podría ser también correcta ya que el orden entre las dos opciones no está predeterminado por ninguna instrucción o norma y además porque no se indica si la actuación es al entrar a trabajar o en un momento posterior de su jornada de trabajo y ya fuese evidente de que la fotocopiadora estuviese en ON de encendido y no en OFF de apagado.</w:t>
      </w:r>
    </w:p>
    <w:p w14:paraId="1D65BA28"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La opción que se da por correcta está mal expresada lo que pretende trasmitir, ya que lo que el subalterno tendría que comprobar es que </w:t>
      </w:r>
      <w:r w:rsidRPr="00CE2B3B">
        <w:rPr>
          <w:rFonts w:ascii="Calibri" w:eastAsia="Times New Roman" w:hAnsi="Calibri" w:cs="Calibri"/>
          <w:b/>
          <w:bCs/>
          <w:color w:val="000000"/>
          <w:kern w:val="2"/>
          <w:szCs w:val="20"/>
          <w14:ligatures w14:val="standardContextual"/>
        </w:rPr>
        <w:t xml:space="preserve">sí </w:t>
      </w:r>
      <w:r w:rsidRPr="00CE2B3B">
        <w:rPr>
          <w:rFonts w:ascii="Calibri" w:eastAsia="Times New Roman" w:hAnsi="Calibri" w:cs="Calibri"/>
          <w:color w:val="000000"/>
          <w:kern w:val="2"/>
          <w:szCs w:val="20"/>
          <w14:ligatures w14:val="standardContextual"/>
        </w:rPr>
        <w:t xml:space="preserve">efectivamente y no el </w:t>
      </w:r>
      <w:r w:rsidRPr="00CE2B3B">
        <w:rPr>
          <w:rFonts w:ascii="Calibri" w:eastAsia="Times New Roman" w:hAnsi="Calibri" w:cs="Calibri"/>
          <w:b/>
          <w:bCs/>
          <w:color w:val="000000"/>
          <w:kern w:val="2"/>
          <w:szCs w:val="20"/>
          <w14:ligatures w14:val="standardContextual"/>
        </w:rPr>
        <w:t xml:space="preserve">no </w:t>
      </w:r>
      <w:r w:rsidRPr="00CE2B3B">
        <w:rPr>
          <w:rFonts w:ascii="Calibri" w:eastAsia="Times New Roman" w:hAnsi="Calibri" w:cs="Calibri"/>
          <w:color w:val="000000"/>
          <w:kern w:val="2"/>
          <w:szCs w:val="20"/>
          <w14:ligatures w14:val="standardContextual"/>
        </w:rPr>
        <w:t>que aparece en la respuesta, comprobar que la máquina está en la “opción ahorro de energía” tocar la pantalla táctil y que la máquina quede lista para iniciar el escaneado de las originales que desea fotocopiar.</w:t>
      </w:r>
    </w:p>
    <w:p w14:paraId="62A362A7"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310C7D81" w14:textId="77777777" w:rsidR="00CE2B3B" w:rsidRPr="00CE2B3B" w:rsidRDefault="00CE2B3B" w:rsidP="00CE2B3B">
      <w:pPr>
        <w:spacing w:after="0" w:line="240" w:lineRule="auto"/>
        <w:ind w:left="-5"/>
        <w:jc w:val="both"/>
        <w:rPr>
          <w:rFonts w:ascii="Calibri" w:eastAsia="Calibri" w:hAnsi="Calibri" w:cs="Calibri"/>
        </w:rPr>
      </w:pPr>
      <w:r w:rsidRPr="00CE2B3B">
        <w:rPr>
          <w:rFonts w:ascii="Calibri" w:eastAsia="Calibri" w:hAnsi="Calibri" w:cs="Calibri"/>
          <w:b/>
        </w:rPr>
        <w:t>38. De acuerdo con el artículo 22 de la Ley orgánica 3/2018, de 5 de diciembre, de protección de datos personales y garantía de los derechos digitales, las imágenes captadas con fines de videovigilancia deberán ser suprimidas en un plazo máximo:</w:t>
      </w:r>
      <w:r w:rsidRPr="00CE2B3B">
        <w:rPr>
          <w:rFonts w:ascii="Arial" w:eastAsia="Arial" w:hAnsi="Arial" w:cs="Arial"/>
        </w:rPr>
        <w:t xml:space="preserve"> </w:t>
      </w:r>
    </w:p>
    <w:p w14:paraId="473799BA" w14:textId="77777777" w:rsidR="00CE2B3B" w:rsidRPr="00CE2B3B" w:rsidRDefault="00CE2B3B" w:rsidP="00CE2B3B">
      <w:pPr>
        <w:numPr>
          <w:ilvl w:val="0"/>
          <w:numId w:val="23"/>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Los datos serán suprimidos en el plazo máximo de seis meses desde su captación, salvo cuando tuviesen que ser conservados para acreditar la comisión de actos que atenten contra la integridad de personas, bienes o instalaciones. </w:t>
      </w:r>
    </w:p>
    <w:p w14:paraId="3B114292" w14:textId="77777777" w:rsidR="00CE2B3B" w:rsidRPr="00CE2B3B" w:rsidRDefault="00CE2B3B" w:rsidP="00CE2B3B">
      <w:pPr>
        <w:numPr>
          <w:ilvl w:val="0"/>
          <w:numId w:val="23"/>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Los datos serán suprimidos en el plazo máximo de un mes desde su captación, salvo cuando tuviesen que ser conservados para acreditar la comisión de actos que atenten contra la integridad de personas, bienes o instalaciones. </w:t>
      </w:r>
    </w:p>
    <w:p w14:paraId="2033B841" w14:textId="77777777" w:rsidR="00CE2B3B" w:rsidRPr="00CE2B3B" w:rsidRDefault="00CE2B3B" w:rsidP="00CE2B3B">
      <w:pPr>
        <w:numPr>
          <w:ilvl w:val="0"/>
          <w:numId w:val="23"/>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Los datos serán suprimidos en el plazo máximo de dos meses desde su captación, salvo cuando tuviesen que ser conservados para acreditar la comisión de actos que atenten contra la integridad de personas, bienes o instalaciones. </w:t>
      </w:r>
    </w:p>
    <w:p w14:paraId="7B304796" w14:textId="77777777" w:rsidR="00CE2B3B" w:rsidRPr="00CE2B3B" w:rsidRDefault="00CE2B3B" w:rsidP="00CE2B3B">
      <w:pPr>
        <w:numPr>
          <w:ilvl w:val="0"/>
          <w:numId w:val="23"/>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Los datos serán suprimidos en el plazo máximo de un año desde su captación, salvo cuando tuviesen que ser conservados para acreditar la comisión de actos que atenten contra la integridad de personas, bienes o instalaciones. </w:t>
      </w:r>
    </w:p>
    <w:p w14:paraId="06374B9E" w14:textId="77777777" w:rsidR="00CE2B3B" w:rsidRPr="00CE2B3B" w:rsidRDefault="00CE2B3B" w:rsidP="00CE2B3B">
      <w:pPr>
        <w:spacing w:after="0" w:line="240" w:lineRule="auto"/>
        <w:ind w:left="720"/>
        <w:jc w:val="both"/>
        <w:rPr>
          <w:rFonts w:ascii="Calibri" w:eastAsia="Times New Roman" w:hAnsi="Calibri" w:cs="Calibri"/>
          <w:color w:val="000000"/>
          <w:kern w:val="2"/>
          <w:szCs w:val="20"/>
          <w14:ligatures w14:val="standardContextual"/>
        </w:rPr>
      </w:pPr>
    </w:p>
    <w:p w14:paraId="125CA546" w14:textId="77777777" w:rsidR="00CE2B3B" w:rsidRDefault="00CE2B3B" w:rsidP="00CE2B3B">
      <w:pPr>
        <w:spacing w:after="0" w:line="240" w:lineRule="auto"/>
        <w:jc w:val="both"/>
        <w:rPr>
          <w:rFonts w:ascii="Calibri" w:eastAsia="Calibri" w:hAnsi="Calibri" w:cs="Calibri"/>
          <w:b/>
          <w:bCs/>
        </w:rPr>
      </w:pPr>
      <w:r w:rsidRPr="00CE2B3B">
        <w:rPr>
          <w:rFonts w:ascii="Calibri" w:eastAsia="Calibri" w:hAnsi="Calibri" w:cs="Calibri"/>
          <w:b/>
          <w:bCs/>
        </w:rPr>
        <w:t>Impugnamos la pregunta 38 por encontrarse fuera de temario.</w:t>
      </w:r>
    </w:p>
    <w:p w14:paraId="18CF2F08" w14:textId="77777777" w:rsidR="00CE2B3B" w:rsidRPr="00CE2B3B" w:rsidRDefault="00CE2B3B" w:rsidP="00CE2B3B">
      <w:pPr>
        <w:spacing w:after="0" w:line="240" w:lineRule="auto"/>
        <w:jc w:val="both"/>
        <w:rPr>
          <w:rFonts w:ascii="Calibri" w:eastAsia="Calibri" w:hAnsi="Calibri" w:cs="Calibri"/>
          <w:b/>
          <w:bCs/>
        </w:rPr>
      </w:pPr>
    </w:p>
    <w:p w14:paraId="073D1CBD"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 xml:space="preserve">En el temario común no se encuentra en el programa la ley de protección de datos Ley 3/2018, de 5 de diciembre; y en el tema 1 del programa específico encontramos el siguiente </w:t>
      </w:r>
      <w:r w:rsidRPr="00CE2B3B">
        <w:rPr>
          <w:rFonts w:ascii="Calibri" w:eastAsia="Calibri" w:hAnsi="Calibri" w:cs="Calibri"/>
          <w:b/>
          <w:bCs/>
        </w:rPr>
        <w:t>epígrafe: VIGILANCIA Y CONTROL DE PERSONAS QUE ACCEDAN A LAS DEPENDENCIAS ADMINISTRATIVAS, REUNIONES Y ACTUACIONES DE COMUNICACIÓN: PREPARACIÓN DE LOCALES Y MATERIALES.</w:t>
      </w:r>
    </w:p>
    <w:p w14:paraId="4E843BE0"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b/>
          <w:bCs/>
        </w:rPr>
        <w:t> </w:t>
      </w:r>
    </w:p>
    <w:p w14:paraId="41F9E993"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b/>
          <w:bCs/>
          <w:u w:val="single"/>
        </w:rPr>
        <w:t>No existe entre las funciones del subalterno la grabación de imágenes y menos, su tratamiento posterior.</w:t>
      </w:r>
      <w:r w:rsidRPr="00CE2B3B">
        <w:rPr>
          <w:rFonts w:ascii="Calibri" w:eastAsia="Calibri" w:hAnsi="Calibri" w:cs="Calibri"/>
          <w:b/>
          <w:bCs/>
        </w:rPr>
        <w:t xml:space="preserve"> </w:t>
      </w:r>
    </w:p>
    <w:p w14:paraId="2B828724"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b/>
          <w:bCs/>
        </w:rPr>
        <w:t> </w:t>
      </w:r>
    </w:p>
    <w:p w14:paraId="498748A5"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b/>
          <w:bCs/>
        </w:rPr>
        <w:t>El Decreto 3143/1971, de 16 de diciembre</w:t>
      </w:r>
      <w:r w:rsidRPr="00CE2B3B">
        <w:rPr>
          <w:rFonts w:ascii="Calibri" w:eastAsia="Calibri" w:hAnsi="Calibri" w:cs="Calibri"/>
        </w:rPr>
        <w:t xml:space="preserve">, por el que se aprueba el Reglamento del cuerpo general subalterno de la administración civil del estado, recogía como función de los subalternos </w:t>
      </w:r>
    </w:p>
    <w:p w14:paraId="65FAB03D"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b/>
          <w:bCs/>
        </w:rPr>
        <w:t>“controlar la entrada de las personas ajenas al servicio”.</w:t>
      </w:r>
    </w:p>
    <w:p w14:paraId="5D480D3E"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 xml:space="preserve">El control de accesos es una medida preventiva de seguridad para supervisar y regular el tránsito de personas, vehículos y mercancías a través de uno varios zonas, áreas o dependencias de un determinado lugar, instalaciones o edificio público/privado definidas como áreas seguras para la prevención y protección de riesgos. </w:t>
      </w:r>
    </w:p>
    <w:p w14:paraId="3030F1BF"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Como filtro de seguridad, puede estar gestionado por una o varias personas, asistidos o no de sistemas electrónicos (generalmente, mediante concesiones o contratos de servicios a empresas de seguridad) que faciliten el control registro administrativo de visitas y mercancías, de tal modo que permita conocer la identidad de las personas y sus movimientos por uno o varios departamentos o áreas del edificio.</w:t>
      </w:r>
    </w:p>
    <w:p w14:paraId="60B6E747"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Los distintos controles de acceso vienen clasificados en la norma UNE-108-230-86.</w:t>
      </w:r>
    </w:p>
    <w:p w14:paraId="002F5BD7" w14:textId="77777777" w:rsidR="00CE2B3B" w:rsidRDefault="00CE2B3B" w:rsidP="00CE2B3B">
      <w:pPr>
        <w:spacing w:after="0" w:line="240" w:lineRule="auto"/>
        <w:jc w:val="both"/>
        <w:rPr>
          <w:rFonts w:ascii="Calibri" w:eastAsia="Calibri" w:hAnsi="Calibri" w:cs="Calibri"/>
        </w:rPr>
      </w:pPr>
    </w:p>
    <w:p w14:paraId="237231CC" w14:textId="77777777" w:rsidR="00CE2B3B" w:rsidRDefault="00CE2B3B" w:rsidP="00CE2B3B">
      <w:pPr>
        <w:spacing w:after="0" w:line="240" w:lineRule="auto"/>
        <w:jc w:val="both"/>
        <w:rPr>
          <w:rFonts w:ascii="Calibri" w:eastAsia="Calibri" w:hAnsi="Calibri" w:cs="Calibri"/>
        </w:rPr>
      </w:pPr>
    </w:p>
    <w:p w14:paraId="1D6C76ED" w14:textId="77777777" w:rsidR="00CE2B3B" w:rsidRDefault="00CE2B3B" w:rsidP="00CE2B3B">
      <w:pPr>
        <w:spacing w:after="0" w:line="240" w:lineRule="auto"/>
        <w:jc w:val="both"/>
        <w:rPr>
          <w:rFonts w:ascii="Calibri" w:eastAsia="Calibri" w:hAnsi="Calibri" w:cs="Calibri"/>
        </w:rPr>
      </w:pPr>
    </w:p>
    <w:p w14:paraId="63D38627" w14:textId="6EED3739"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Para ello el personal subalterno en funciones de control de accesos se orientará según lo dispuesto en las normas y protocolos establecidos por la administración general del edificio. Supondrá:</w:t>
      </w:r>
    </w:p>
    <w:p w14:paraId="44CE6D92" w14:textId="77777777" w:rsidR="00CE2B3B" w:rsidRPr="00CE2B3B" w:rsidRDefault="00CE2B3B" w:rsidP="00CE2B3B">
      <w:pPr>
        <w:spacing w:after="0" w:line="240" w:lineRule="auto"/>
        <w:jc w:val="both"/>
        <w:rPr>
          <w:rFonts w:ascii="Calibri" w:eastAsia="Calibri" w:hAnsi="Calibri" w:cs="Calibri"/>
        </w:rPr>
      </w:pPr>
    </w:p>
    <w:p w14:paraId="3E4E46FE"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Control de seguridad del perímetro exterior de acceso al edificio</w:t>
      </w:r>
    </w:p>
    <w:p w14:paraId="5C0646A7"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Control de seguridad interior del edificio</w:t>
      </w:r>
    </w:p>
    <w:p w14:paraId="77D16056"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Apertura de edificios</w:t>
      </w:r>
    </w:p>
    <w:p w14:paraId="3669C41F"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Encendido de luces y apertura de puertas</w:t>
      </w:r>
    </w:p>
    <w:p w14:paraId="12959CED"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Acceso a plantas</w:t>
      </w:r>
    </w:p>
    <w:p w14:paraId="10B1E467"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Puerta de servicio</w:t>
      </w:r>
    </w:p>
    <w:p w14:paraId="1393EEA8"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Puertas de emergencia</w:t>
      </w:r>
    </w:p>
    <w:p w14:paraId="2D374F17"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Finalización del servicio</w:t>
      </w:r>
    </w:p>
    <w:p w14:paraId="3DE1F7B4"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Descripción de personas</w:t>
      </w:r>
    </w:p>
    <w:p w14:paraId="20E87FC5"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Control de bultos o paquetes sospechosos</w:t>
      </w:r>
    </w:p>
    <w:p w14:paraId="127A7812"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Registro de novedades e incidencias</w:t>
      </w:r>
    </w:p>
    <w:p w14:paraId="7F5CF34C"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Custodia y control de llaves</w:t>
      </w:r>
    </w:p>
    <w:p w14:paraId="2BEEA39F" w14:textId="77777777" w:rsidR="003F79C5" w:rsidRPr="00CE2B3B" w:rsidRDefault="00000000" w:rsidP="00CE2B3B">
      <w:pPr>
        <w:numPr>
          <w:ilvl w:val="0"/>
          <w:numId w:val="29"/>
        </w:numPr>
        <w:spacing w:after="0" w:line="240" w:lineRule="auto"/>
        <w:ind w:left="714" w:right="3" w:hanging="357"/>
        <w:contextualSpacing/>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Rondas</w:t>
      </w:r>
    </w:p>
    <w:p w14:paraId="7D07CBB9" w14:textId="77777777" w:rsidR="00CE2B3B" w:rsidRPr="00CE2B3B" w:rsidRDefault="00CE2B3B" w:rsidP="00CE2B3B">
      <w:pPr>
        <w:spacing w:after="0" w:line="240" w:lineRule="auto"/>
        <w:ind w:firstLine="45"/>
        <w:jc w:val="both"/>
        <w:rPr>
          <w:rFonts w:ascii="Calibri" w:eastAsia="Calibri" w:hAnsi="Calibri" w:cs="Calibri"/>
          <w:sz w:val="20"/>
          <w:szCs w:val="20"/>
        </w:rPr>
      </w:pPr>
    </w:p>
    <w:p w14:paraId="2F1F648E" w14:textId="77777777" w:rsidR="00CE2B3B" w:rsidRPr="00CE2B3B" w:rsidRDefault="00CE2B3B" w:rsidP="00CE2B3B">
      <w:pPr>
        <w:shd w:val="clear" w:color="auto" w:fill="F9F9F9"/>
        <w:spacing w:after="0" w:line="240" w:lineRule="auto"/>
        <w:jc w:val="both"/>
        <w:outlineLvl w:val="2"/>
        <w:rPr>
          <w:rFonts w:ascii="Times New Roman" w:eastAsia="Calibri" w:hAnsi="Times New Roman" w:cs="Times New Roman"/>
          <w:b/>
          <w:bCs/>
          <w:sz w:val="27"/>
          <w:szCs w:val="27"/>
        </w:rPr>
      </w:pPr>
      <w:r w:rsidRPr="00CE2B3B">
        <w:rPr>
          <w:rFonts w:ascii="Calibri" w:eastAsia="Calibri" w:hAnsi="Calibri" w:cs="Calibri"/>
          <w:b/>
          <w:bCs/>
          <w:u w:val="single"/>
        </w:rPr>
        <w:t>En ningún caso se encuentra el tratamiento de datos de datos de carácter personal.</w:t>
      </w:r>
      <w:r w:rsidRPr="00CE2B3B">
        <w:rPr>
          <w:rFonts w:ascii="Calibri" w:eastAsia="Calibri" w:hAnsi="Calibri" w:cs="Calibri"/>
        </w:rPr>
        <w:t xml:space="preserve">  Se define el tratamiento de datos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como </w:t>
      </w:r>
    </w:p>
    <w:p w14:paraId="6261683C"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“Cualquier operación o conjunto de operaciones realizadas sobre datos personales o conjuntos de datos personales, ya sea por procedimientos automatizados o no, como la recogida, registro, organización, estructuración, conservación, adaptación o modificación, extracción, consulta, utilización, comunicación por transmisión, difusión o cualquier otra forma de habilitación de acceso, cotejo o interconexión, imitación, supresión o destrucción”.</w:t>
      </w:r>
    </w:p>
    <w:p w14:paraId="4DE8BF08"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rPr>
        <w:t> </w:t>
      </w:r>
    </w:p>
    <w:p w14:paraId="74F56BB2" w14:textId="77777777" w:rsidR="00CE2B3B" w:rsidRPr="00CE2B3B" w:rsidRDefault="00CE2B3B" w:rsidP="00CE2B3B">
      <w:pPr>
        <w:spacing w:after="0" w:line="240" w:lineRule="auto"/>
        <w:jc w:val="both"/>
        <w:rPr>
          <w:rFonts w:ascii="Calibri" w:eastAsia="Calibri" w:hAnsi="Calibri" w:cs="Calibri"/>
        </w:rPr>
      </w:pPr>
      <w:r w:rsidRPr="00CE2B3B">
        <w:rPr>
          <w:rFonts w:ascii="Calibri" w:eastAsia="Calibri" w:hAnsi="Calibri" w:cs="Calibri"/>
          <w:b/>
          <w:bCs/>
        </w:rPr>
        <w:t>No es el personal subalterno el encargado del tratamiento de los datos consiste en eliminar las imágenes. Y no siendo objeto de programa la Ley de protección de datos, la pregunta 38 se encuentra fuera de temario.</w:t>
      </w:r>
    </w:p>
    <w:p w14:paraId="3A99B762"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0FE48FE2"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4E70998F" w14:textId="77777777" w:rsidR="00CE2B3B" w:rsidRPr="00CE2B3B" w:rsidRDefault="00CE2B3B" w:rsidP="00CE2B3B">
      <w:pPr>
        <w:spacing w:after="0" w:line="240" w:lineRule="auto"/>
        <w:ind w:left="-5"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t>39. Existen varios tipos de grapado. Si decimos que los salientes de la grapa se pliegan hacia dentro evitando así que el grupo de hojas se suelten, ¿de qué tipo de grapado estamos hablando?</w:t>
      </w:r>
      <w:r w:rsidRPr="00CE2B3B">
        <w:rPr>
          <w:rFonts w:ascii="Calibri" w:eastAsia="Arial" w:hAnsi="Calibri" w:cs="Calibri"/>
          <w:color w:val="000000"/>
          <w:kern w:val="2"/>
          <w:szCs w:val="20"/>
          <w14:ligatures w14:val="standardContextual"/>
        </w:rPr>
        <w:t xml:space="preserve"> </w:t>
      </w:r>
    </w:p>
    <w:p w14:paraId="50BFCF3A" w14:textId="77777777" w:rsidR="00CE2B3B" w:rsidRPr="00CE2B3B" w:rsidRDefault="00CE2B3B" w:rsidP="00CE2B3B">
      <w:pPr>
        <w:numPr>
          <w:ilvl w:val="0"/>
          <w:numId w:val="30"/>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Grapado clavado.</w:t>
      </w:r>
      <w:r w:rsidRPr="00CE2B3B">
        <w:rPr>
          <w:rFonts w:ascii="Calibri" w:eastAsia="Calibri" w:hAnsi="Calibri" w:cs="Calibri"/>
          <w:color w:val="000000"/>
          <w:kern w:val="2"/>
          <w:szCs w:val="20"/>
          <w14:ligatures w14:val="standardContextual"/>
        </w:rPr>
        <w:t xml:space="preserve"> </w:t>
      </w:r>
    </w:p>
    <w:p w14:paraId="697DBA76" w14:textId="77777777" w:rsidR="00CE2B3B" w:rsidRPr="00CE2B3B" w:rsidRDefault="00CE2B3B" w:rsidP="00CE2B3B">
      <w:pPr>
        <w:numPr>
          <w:ilvl w:val="0"/>
          <w:numId w:val="30"/>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Grapado caballete. </w:t>
      </w:r>
    </w:p>
    <w:p w14:paraId="17672B45" w14:textId="77777777" w:rsidR="00CE2B3B" w:rsidRPr="00CE2B3B" w:rsidRDefault="00CE2B3B" w:rsidP="00CE2B3B">
      <w:pPr>
        <w:numPr>
          <w:ilvl w:val="0"/>
          <w:numId w:val="30"/>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Grapado cerrado. </w:t>
      </w:r>
    </w:p>
    <w:p w14:paraId="6BF3A6D8" w14:textId="77777777" w:rsidR="00CE2B3B" w:rsidRDefault="00CE2B3B" w:rsidP="00CE2B3B">
      <w:pPr>
        <w:numPr>
          <w:ilvl w:val="0"/>
          <w:numId w:val="30"/>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Grapado permanente. </w:t>
      </w:r>
    </w:p>
    <w:p w14:paraId="5DBDDB8D" w14:textId="77777777" w:rsidR="00CE2B3B" w:rsidRPr="00CE2B3B" w:rsidRDefault="00CE2B3B" w:rsidP="00CE2B3B">
      <w:pPr>
        <w:spacing w:after="0" w:line="240" w:lineRule="auto"/>
        <w:ind w:left="720" w:right="3"/>
        <w:jc w:val="both"/>
        <w:rPr>
          <w:rFonts w:ascii="Calibri" w:eastAsia="Times New Roman" w:hAnsi="Calibri" w:cs="Calibri"/>
          <w:color w:val="000000"/>
          <w:kern w:val="2"/>
          <w:szCs w:val="20"/>
          <w14:ligatures w14:val="standardContextual"/>
        </w:rPr>
      </w:pPr>
    </w:p>
    <w:p w14:paraId="7D548FD2" w14:textId="77777777" w:rsidR="00CE2B3B" w:rsidRPr="00CE2B3B" w:rsidRDefault="00CE2B3B" w:rsidP="00CE2B3B">
      <w:pPr>
        <w:spacing w:after="0" w:line="240" w:lineRule="auto"/>
        <w:ind w:left="10" w:right="3" w:hanging="10"/>
        <w:jc w:val="both"/>
        <w:rPr>
          <w:rFonts w:ascii="Calibri" w:eastAsia="Calibri"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Hay dos respuestas correctas las opciones c) y d) son denominaciones diferentes de llamar al grapado descrito en el enunciado</w:t>
      </w:r>
    </w:p>
    <w:p w14:paraId="301E6619"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Grapado permanente:</w:t>
      </w:r>
      <w:r w:rsidRPr="00CE2B3B">
        <w:rPr>
          <w:rFonts w:ascii="Calibri" w:eastAsia="Times New Roman" w:hAnsi="Calibri" w:cs="Calibri"/>
          <w:color w:val="000000"/>
          <w:kern w:val="2"/>
          <w:szCs w:val="20"/>
          <w14:ligatures w14:val="standardContextual"/>
        </w:rPr>
        <w:t xml:space="preserve"> también conocido como grapado cerrado. Los salientes de la grapa se pliegan hacia adentro evitando así que el grupo de hojas se suelten.</w:t>
      </w:r>
    </w:p>
    <w:p w14:paraId="193F9BD6" w14:textId="77777777" w:rsid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bCs/>
          <w:color w:val="000000"/>
          <w:kern w:val="2"/>
          <w:szCs w:val="20"/>
          <w14:ligatures w14:val="standardContextual"/>
        </w:rPr>
        <w:t xml:space="preserve">Grapado cerrado: </w:t>
      </w:r>
      <w:r w:rsidRPr="00CE2B3B">
        <w:rPr>
          <w:rFonts w:ascii="Calibri" w:eastAsia="Times New Roman" w:hAnsi="Calibri" w:cs="Calibri"/>
          <w:color w:val="000000"/>
          <w:kern w:val="2"/>
          <w:szCs w:val="20"/>
          <w14:ligatures w14:val="standardContextual"/>
        </w:rPr>
        <w:t>está diseñado para unir documentos de forma permanente.</w:t>
      </w:r>
    </w:p>
    <w:p w14:paraId="2F126F53" w14:textId="71459BCA" w:rsidR="00CE2B3B" w:rsidRDefault="00CE2B3B">
      <w:pPr>
        <w:rPr>
          <w:rFonts w:ascii="Calibri" w:eastAsia="Times New Roman" w:hAnsi="Calibri" w:cs="Calibri"/>
          <w:b/>
          <w:bCs/>
          <w:color w:val="000000"/>
          <w:kern w:val="2"/>
          <w:szCs w:val="20"/>
          <w14:ligatures w14:val="standardContextual"/>
        </w:rPr>
      </w:pPr>
      <w:r>
        <w:rPr>
          <w:rFonts w:ascii="Calibri" w:eastAsia="Times New Roman" w:hAnsi="Calibri" w:cs="Calibri"/>
          <w:b/>
          <w:bCs/>
          <w:color w:val="000000"/>
          <w:kern w:val="2"/>
          <w:szCs w:val="20"/>
          <w14:ligatures w14:val="standardContextual"/>
        </w:rPr>
        <w:br w:type="page"/>
      </w:r>
    </w:p>
    <w:p w14:paraId="384A108C" w14:textId="77777777" w:rsidR="00CE2B3B" w:rsidRPr="00CE2B3B" w:rsidRDefault="00CE2B3B" w:rsidP="00CE2B3B">
      <w:pPr>
        <w:spacing w:after="0" w:line="240" w:lineRule="auto"/>
        <w:ind w:left="-5"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b/>
          <w:color w:val="000000"/>
          <w:kern w:val="2"/>
          <w:szCs w:val="20"/>
          <w14:ligatures w14:val="standardContextual"/>
        </w:rPr>
        <w:t>40. Si se quiere encuadernar una cantidad elevada de libros de más de 500 hojas y que la encuadernación cumpla con los requisitos de eficacia, durabilidad y rapidez, ¿qué técnica de encuadernación sería la más idónea?</w:t>
      </w:r>
      <w:r w:rsidRPr="00CE2B3B">
        <w:rPr>
          <w:rFonts w:ascii="Calibri" w:eastAsia="Arial" w:hAnsi="Calibri" w:cs="Calibri"/>
          <w:color w:val="000000"/>
          <w:kern w:val="2"/>
          <w:szCs w:val="20"/>
          <w14:ligatures w14:val="standardContextual"/>
        </w:rPr>
        <w:t xml:space="preserve"> </w:t>
      </w:r>
    </w:p>
    <w:p w14:paraId="0C69A05B" w14:textId="77777777" w:rsidR="00CE2B3B" w:rsidRPr="00CE2B3B" w:rsidRDefault="00CE2B3B" w:rsidP="00CE2B3B">
      <w:pPr>
        <w:numPr>
          <w:ilvl w:val="0"/>
          <w:numId w:val="26"/>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Encuadernación </w:t>
      </w:r>
      <w:proofErr w:type="spellStart"/>
      <w:r w:rsidRPr="00CE2B3B">
        <w:rPr>
          <w:rFonts w:ascii="Calibri" w:eastAsia="Times New Roman" w:hAnsi="Calibri" w:cs="Calibri"/>
          <w:color w:val="000000"/>
          <w:kern w:val="2"/>
          <w:szCs w:val="20"/>
          <w14:ligatures w14:val="standardContextual"/>
        </w:rPr>
        <w:t>channel</w:t>
      </w:r>
      <w:proofErr w:type="spellEnd"/>
      <w:r w:rsidRPr="00CE2B3B">
        <w:rPr>
          <w:rFonts w:ascii="Calibri" w:eastAsia="Times New Roman" w:hAnsi="Calibri" w:cs="Calibri"/>
          <w:color w:val="000000"/>
          <w:kern w:val="2"/>
          <w:szCs w:val="20"/>
          <w14:ligatures w14:val="standardContextual"/>
        </w:rPr>
        <w:t>.</w:t>
      </w:r>
      <w:r w:rsidRPr="00CE2B3B">
        <w:rPr>
          <w:rFonts w:ascii="Calibri" w:eastAsia="Calibri" w:hAnsi="Calibri" w:cs="Calibri"/>
          <w:color w:val="000000"/>
          <w:kern w:val="2"/>
          <w:szCs w:val="20"/>
          <w14:ligatures w14:val="standardContextual"/>
        </w:rPr>
        <w:t xml:space="preserve"> </w:t>
      </w:r>
    </w:p>
    <w:p w14:paraId="4B398033" w14:textId="77777777" w:rsidR="00CE2B3B" w:rsidRPr="00CE2B3B" w:rsidRDefault="00CE2B3B" w:rsidP="00CE2B3B">
      <w:pPr>
        <w:numPr>
          <w:ilvl w:val="0"/>
          <w:numId w:val="26"/>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Encuadernación grapada. </w:t>
      </w:r>
    </w:p>
    <w:p w14:paraId="77F806C1" w14:textId="77777777" w:rsidR="00CE2B3B" w:rsidRPr="00CE2B3B" w:rsidRDefault="00CE2B3B" w:rsidP="00CE2B3B">
      <w:pPr>
        <w:numPr>
          <w:ilvl w:val="0"/>
          <w:numId w:val="26"/>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Encuadernación térmica.</w:t>
      </w:r>
      <w:r w:rsidRPr="00CE2B3B">
        <w:rPr>
          <w:rFonts w:ascii="Calibri" w:eastAsia="Calibri" w:hAnsi="Calibri" w:cs="Calibri"/>
          <w:color w:val="000000"/>
          <w:kern w:val="2"/>
          <w:szCs w:val="20"/>
          <w14:ligatures w14:val="standardContextual"/>
        </w:rPr>
        <w:t xml:space="preserve"> </w:t>
      </w:r>
    </w:p>
    <w:p w14:paraId="01281F57" w14:textId="77777777" w:rsidR="00CE2B3B" w:rsidRPr="00CE2B3B" w:rsidRDefault="00CE2B3B" w:rsidP="00CE2B3B">
      <w:pPr>
        <w:numPr>
          <w:ilvl w:val="0"/>
          <w:numId w:val="26"/>
        </w:numPr>
        <w:spacing w:after="0" w:line="240" w:lineRule="auto"/>
        <w:ind w:right="3"/>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Encuadernación cartoné.</w:t>
      </w:r>
      <w:r w:rsidRPr="00CE2B3B">
        <w:rPr>
          <w:rFonts w:ascii="Calibri" w:eastAsia="Calibri" w:hAnsi="Calibri" w:cs="Calibri"/>
          <w:color w:val="000000"/>
          <w:kern w:val="2"/>
          <w:szCs w:val="20"/>
          <w14:ligatures w14:val="standardContextual"/>
        </w:rPr>
        <w:t xml:space="preserve"> </w:t>
      </w:r>
    </w:p>
    <w:p w14:paraId="7B46FE94"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p>
    <w:p w14:paraId="6DA179E3"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 xml:space="preserve">Las encuadernaciones que cumplen los requisitos de eficacia, durabilidad y rapidez podrían ser características propias de la encuadernación </w:t>
      </w:r>
      <w:proofErr w:type="spellStart"/>
      <w:r w:rsidRPr="00CE2B3B">
        <w:rPr>
          <w:rFonts w:ascii="Calibri" w:eastAsia="Times New Roman" w:hAnsi="Calibri" w:cs="Calibri"/>
          <w:color w:val="000000"/>
          <w:kern w:val="2"/>
          <w:szCs w:val="20"/>
          <w14:ligatures w14:val="standardContextual"/>
        </w:rPr>
        <w:t>channel</w:t>
      </w:r>
      <w:proofErr w:type="spellEnd"/>
      <w:r w:rsidRPr="00CE2B3B">
        <w:rPr>
          <w:rFonts w:ascii="Calibri" w:eastAsia="Times New Roman" w:hAnsi="Calibri" w:cs="Calibri"/>
          <w:color w:val="000000"/>
          <w:kern w:val="2"/>
          <w:szCs w:val="20"/>
          <w14:ligatures w14:val="standardContextual"/>
        </w:rPr>
        <w:t xml:space="preserve"> y de la encuadernación térmica.</w:t>
      </w:r>
    </w:p>
    <w:p w14:paraId="66CDE416"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La cuestión es que se plantea una cantidad elevada de libros de más de 500 hojas (pueden ser 600, 700, 800, 900 o más) sin además precisar el gramaje de las hojas.</w:t>
      </w:r>
    </w:p>
    <w:p w14:paraId="03B40C1E"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Cs w:val="20"/>
          <w14:ligatures w14:val="standardContextual"/>
        </w:rPr>
      </w:pPr>
      <w:r w:rsidRPr="00CE2B3B">
        <w:rPr>
          <w:rFonts w:ascii="Calibri" w:eastAsia="Times New Roman" w:hAnsi="Calibri" w:cs="Calibri"/>
          <w:color w:val="000000"/>
          <w:kern w:val="2"/>
          <w:szCs w:val="20"/>
          <w14:ligatures w14:val="standardContextual"/>
        </w:rPr>
        <w:t>El tribunal da por correcta la c) Encuadernación Térmica. Es un criterio generalizado de todos los profesionales de que la encuadernación térmica funciona en todo tipo de productos siempre que no tenga un gran número de hojas. El límite máximo de páginas en papel de 80 gramos es de 350 a una cara según el consenso de las imprentas.</w:t>
      </w:r>
    </w:p>
    <w:p w14:paraId="2D41927F"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 w:val="20"/>
          <w:szCs w:val="18"/>
          <w14:ligatures w14:val="standardContextual"/>
        </w:rPr>
      </w:pPr>
    </w:p>
    <w:p w14:paraId="0F2AF63D" w14:textId="77777777" w:rsidR="00CE2B3B" w:rsidRPr="00CE2B3B" w:rsidRDefault="00CE2B3B" w:rsidP="00CE2B3B">
      <w:pPr>
        <w:spacing w:after="0" w:line="240" w:lineRule="auto"/>
        <w:jc w:val="both"/>
        <w:rPr>
          <w:rFonts w:ascii="Calibri" w:eastAsia="Calibri" w:hAnsi="Calibri" w:cs="Times New Roman"/>
          <w:b/>
          <w:bCs/>
          <w:kern w:val="2"/>
          <w:lang w:eastAsia="en-US"/>
          <w14:ligatures w14:val="standardContextual"/>
        </w:rPr>
      </w:pPr>
      <w:r w:rsidRPr="00CE2B3B">
        <w:rPr>
          <w:rFonts w:ascii="Calibri" w:eastAsia="Calibri" w:hAnsi="Calibri" w:cs="Times New Roman"/>
          <w:b/>
          <w:bCs/>
          <w:kern w:val="2"/>
          <w:lang w:eastAsia="en-US"/>
          <w14:ligatures w14:val="standardContextual"/>
        </w:rPr>
        <w:t xml:space="preserve">58. Fermín tiene que practicar la notificación de una resolución administrativa e intenta practicarla en el domicilio del interesado a las 10:00 horas del miércoles 5 de julio, pero este intento de notificación resultó infructuoso. ¿Cuándo podrá Fermín realizar el segundo intento para que sea válido según el artículo 42 de la Ley 30/2015, de 1 de octubre, del procedimiento administrativo común de las Administraciones públicas? </w:t>
      </w:r>
    </w:p>
    <w:p w14:paraId="7E353EA0" w14:textId="77777777" w:rsidR="00CE2B3B" w:rsidRPr="00CE2B3B" w:rsidRDefault="00CE2B3B" w:rsidP="00CE2B3B">
      <w:pPr>
        <w:numPr>
          <w:ilvl w:val="0"/>
          <w:numId w:val="31"/>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A las 14:00 horas del miércoles 5 de julio. </w:t>
      </w:r>
    </w:p>
    <w:p w14:paraId="5BB0705E" w14:textId="77777777" w:rsidR="00CE2B3B" w:rsidRPr="00CE2B3B" w:rsidRDefault="00CE2B3B" w:rsidP="00CE2B3B">
      <w:pPr>
        <w:numPr>
          <w:ilvl w:val="0"/>
          <w:numId w:val="31"/>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A las 16:00 horas del miércoles 5 de julio. </w:t>
      </w:r>
    </w:p>
    <w:p w14:paraId="1AD3A3E3" w14:textId="77777777" w:rsidR="00CE2B3B" w:rsidRPr="00CE2B3B" w:rsidRDefault="00CE2B3B" w:rsidP="00CE2B3B">
      <w:pPr>
        <w:numPr>
          <w:ilvl w:val="0"/>
          <w:numId w:val="31"/>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A las 10:00 horas del jueves 6 de julio. </w:t>
      </w:r>
    </w:p>
    <w:p w14:paraId="4442F7DB" w14:textId="77777777" w:rsidR="00CE2B3B" w:rsidRDefault="00CE2B3B" w:rsidP="00CE2B3B">
      <w:pPr>
        <w:numPr>
          <w:ilvl w:val="0"/>
          <w:numId w:val="31"/>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No es preciso hacer un segundo intento de notificación si en el primero Fermín dejó un aviso de notificación, para que el interesado la fuese a recoger personalmente en la oficina administrativa correspondiente.  </w:t>
      </w:r>
    </w:p>
    <w:p w14:paraId="07CA7910" w14:textId="77777777" w:rsidR="00CE2B3B" w:rsidRPr="00CE2B3B" w:rsidRDefault="00CE2B3B" w:rsidP="00CE2B3B">
      <w:pPr>
        <w:spacing w:after="0" w:line="240" w:lineRule="auto"/>
        <w:ind w:left="720" w:right="3"/>
        <w:contextualSpacing/>
        <w:jc w:val="both"/>
        <w:rPr>
          <w:rFonts w:ascii="Calibri" w:eastAsia="Calibri" w:hAnsi="Calibri" w:cs="Times New Roman"/>
          <w:kern w:val="2"/>
          <w:lang w:eastAsia="en-US"/>
          <w14:ligatures w14:val="standardContextual"/>
        </w:rPr>
      </w:pPr>
    </w:p>
    <w:p w14:paraId="582B75D5"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La planilla indica como correcta la B)</w:t>
      </w:r>
    </w:p>
    <w:p w14:paraId="16544E17"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p>
    <w:p w14:paraId="3B447670"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La pregunta 58 hay que anularla por dos motivos, el primer motivo y más importante es que hacen referencia a la Ley 30/2015 en vez de la Ley 39/2015, por lo tanto la propia pregunta se anula ya que hacen referencia a una Ley que nada tiene que ver con el tema, y si por esto fuera poco, si hubieran puesto la Ley 39/2015 también habría que anularla ya que no tendría ninguna respuesta correcta, ya que la respuesta que se da como correcta provisionalmente no es correcta ya que tendría que ser a las 16 horas del jueves 6 de julio.</w:t>
      </w:r>
    </w:p>
    <w:p w14:paraId="4C80755D"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p>
    <w:p w14:paraId="77233FFB" w14:textId="77777777" w:rsidR="00CE2B3B" w:rsidRPr="00CE2B3B" w:rsidRDefault="00CE2B3B" w:rsidP="00CE2B3B">
      <w:pPr>
        <w:spacing w:after="0" w:line="240" w:lineRule="auto"/>
        <w:jc w:val="both"/>
        <w:rPr>
          <w:rFonts w:ascii="Calibri" w:eastAsia="Calibri" w:hAnsi="Calibri" w:cs="Times New Roman"/>
          <w:b/>
          <w:bCs/>
          <w:kern w:val="2"/>
          <w:lang w:eastAsia="en-US"/>
          <w14:ligatures w14:val="standardContextual"/>
        </w:rPr>
      </w:pPr>
      <w:r w:rsidRPr="00CE2B3B">
        <w:rPr>
          <w:rFonts w:ascii="Calibri" w:eastAsia="Calibri" w:hAnsi="Calibri" w:cs="Times New Roman"/>
          <w:b/>
          <w:bCs/>
          <w:kern w:val="2"/>
          <w:lang w:eastAsia="en-US"/>
          <w14:ligatures w14:val="standardContextual"/>
        </w:rPr>
        <w:t xml:space="preserve">59. Según el artículo 27 del Real decreto 1829/1999, de 3 de diciembre, por el que se aprueba el Reglamento por el que se regula la prestación de los servicios postales, en desarrollo de lo establecido en la Ley 24/1998, de 13 de julio, del servicio postal universal y de la liberalización de los servicios postales, ¿qué servicios postales forman parte del servicio postal universal? </w:t>
      </w:r>
    </w:p>
    <w:p w14:paraId="1E5A802A" w14:textId="77777777" w:rsidR="00CE2B3B" w:rsidRPr="00CE2B3B" w:rsidRDefault="00CE2B3B" w:rsidP="00CE2B3B">
      <w:pPr>
        <w:numPr>
          <w:ilvl w:val="0"/>
          <w:numId w:val="32"/>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Las cartas, la publicidad gratuita y las publicaciones no periódicas y con franqueo pagado. </w:t>
      </w:r>
    </w:p>
    <w:p w14:paraId="10F38807" w14:textId="77777777" w:rsidR="00CE2B3B" w:rsidRPr="00CE2B3B" w:rsidRDefault="00CE2B3B" w:rsidP="00CE2B3B">
      <w:pPr>
        <w:numPr>
          <w:ilvl w:val="0"/>
          <w:numId w:val="32"/>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Las cartas, los recibos, las facturas, los impresos formalizados y las notificaciones administrativas. </w:t>
      </w:r>
    </w:p>
    <w:p w14:paraId="69B633EE" w14:textId="77777777" w:rsidR="00CE2B3B" w:rsidRPr="00CE2B3B" w:rsidRDefault="00CE2B3B" w:rsidP="00CE2B3B">
      <w:pPr>
        <w:numPr>
          <w:ilvl w:val="0"/>
          <w:numId w:val="32"/>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Las cartas, las tarjetas postales, los paquetes postales, los envíos nacionales y transfronterizos de publicidad directa, los libros, los catálogos y las publicaciones periódicas. </w:t>
      </w:r>
    </w:p>
    <w:p w14:paraId="0DF324EE" w14:textId="77777777" w:rsidR="00CE2B3B" w:rsidRDefault="00CE2B3B" w:rsidP="00CE2B3B">
      <w:pPr>
        <w:numPr>
          <w:ilvl w:val="0"/>
          <w:numId w:val="32"/>
        </w:numPr>
        <w:spacing w:after="0" w:line="240" w:lineRule="auto"/>
        <w:ind w:right="3"/>
        <w:contextualSpacing/>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Las cartas, los catálogos de grandes superficies, las encuestas del INE, la correspondencia bancaria y los requerimientos judiciales.</w:t>
      </w:r>
    </w:p>
    <w:p w14:paraId="0CF1460F" w14:textId="77777777" w:rsidR="00CE2B3B" w:rsidRPr="00CE2B3B" w:rsidRDefault="00CE2B3B" w:rsidP="00CE2B3B">
      <w:pPr>
        <w:spacing w:after="0" w:line="240" w:lineRule="auto"/>
        <w:ind w:left="720" w:right="3"/>
        <w:contextualSpacing/>
        <w:jc w:val="both"/>
        <w:rPr>
          <w:rFonts w:ascii="Calibri" w:eastAsia="Calibri" w:hAnsi="Calibri" w:cs="Times New Roman"/>
          <w:kern w:val="2"/>
          <w:lang w:eastAsia="en-US"/>
          <w14:ligatures w14:val="standardContextual"/>
        </w:rPr>
      </w:pPr>
    </w:p>
    <w:p w14:paraId="43DC6E6A" w14:textId="77777777" w:rsid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La planilla indica como correcta la C)</w:t>
      </w:r>
    </w:p>
    <w:p w14:paraId="2CEA2749"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p>
    <w:p w14:paraId="7A84BBEF"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 xml:space="preserve">No tiene ninguna respuesta correcta, por lo tanto, es nula. </w:t>
      </w:r>
    </w:p>
    <w:p w14:paraId="512AC173"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Dan como correcta la c pero tal y como la pusieron no es correcta, está incompleta y eso la hace nula:</w:t>
      </w:r>
    </w:p>
    <w:p w14:paraId="704C3BE8" w14:textId="77777777" w:rsidR="00CE2B3B" w:rsidRPr="00CE2B3B" w:rsidRDefault="00CE2B3B" w:rsidP="00CE2B3B">
      <w:pPr>
        <w:spacing w:after="0" w:line="240" w:lineRule="auto"/>
        <w:jc w:val="both"/>
        <w:rPr>
          <w:rFonts w:ascii="Calibri" w:eastAsia="Calibri" w:hAnsi="Calibri" w:cs="Times New Roman"/>
          <w:i/>
          <w:iCs/>
          <w:kern w:val="2"/>
          <w:lang w:eastAsia="en-US"/>
          <w14:ligatures w14:val="standardContextual"/>
        </w:rPr>
      </w:pPr>
      <w:r w:rsidRPr="00CE2B3B">
        <w:rPr>
          <w:rFonts w:ascii="Calibri" w:eastAsia="Calibri" w:hAnsi="Calibri" w:cs="Times New Roman"/>
          <w:kern w:val="2"/>
          <w:lang w:eastAsia="en-US"/>
          <w14:ligatures w14:val="standardContextual"/>
        </w:rPr>
        <w:t>Respuesta C) según el examen</w:t>
      </w:r>
      <w:r w:rsidRPr="00CE2B3B">
        <w:rPr>
          <w:rFonts w:ascii="Calibri" w:eastAsia="Calibri" w:hAnsi="Calibri" w:cs="Times New Roman"/>
          <w:i/>
          <w:iCs/>
          <w:kern w:val="2"/>
          <w:lang w:eastAsia="en-US"/>
          <w14:ligatures w14:val="standardContextual"/>
        </w:rPr>
        <w:t>: Las cartas, las tarjetas postales, los paquetes postales, los envíos nacionales y transfronterizos de publicidad directa, los libros, los catálogos y las publicaciones periódicas.</w:t>
      </w:r>
    </w:p>
    <w:p w14:paraId="37A31909"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b/>
          <w:bCs/>
          <w:kern w:val="2"/>
          <w:lang w:eastAsia="en-US"/>
          <w14:ligatures w14:val="standardContextual"/>
        </w:rPr>
        <w:t>Respuesta correcta según el artículo al que hacen referencia del RD:</w:t>
      </w:r>
      <w:r w:rsidRPr="00CE2B3B">
        <w:rPr>
          <w:rFonts w:ascii="Calibri" w:eastAsia="Calibri" w:hAnsi="Calibri" w:cs="Times New Roman"/>
          <w:kern w:val="2"/>
          <w:lang w:eastAsia="en-US"/>
          <w14:ligatures w14:val="standardContextual"/>
        </w:rPr>
        <w:t xml:space="preserve"> </w:t>
      </w:r>
    </w:p>
    <w:p w14:paraId="07043B86" w14:textId="77777777" w:rsidR="00CE2B3B" w:rsidRPr="00CE2B3B" w:rsidRDefault="00CE2B3B" w:rsidP="00CE2B3B">
      <w:pPr>
        <w:spacing w:after="0" w:line="240" w:lineRule="auto"/>
        <w:jc w:val="both"/>
        <w:rPr>
          <w:rFonts w:ascii="Calibri" w:eastAsia="Calibri" w:hAnsi="Calibri" w:cs="Times New Roman"/>
          <w:color w:val="FF0000"/>
          <w:kern w:val="2"/>
          <w:lang w:eastAsia="en-US"/>
          <w14:ligatures w14:val="standardContextual"/>
        </w:rPr>
      </w:pPr>
      <w:r w:rsidRPr="00CE2B3B">
        <w:rPr>
          <w:rFonts w:ascii="Calibri" w:eastAsia="Calibri" w:hAnsi="Calibri" w:cs="Times New Roman"/>
          <w:kern w:val="2"/>
          <w:lang w:eastAsia="en-US"/>
          <w14:ligatures w14:val="standardContextual"/>
        </w:rPr>
        <w:t xml:space="preserve">Las cartas, las tarjetas postales, los paquetes postales. Los envíos nacionales y transfronterizos de publicidad directa, de libros, de catálogos, de publicaciones periódicas </w:t>
      </w:r>
      <w:r w:rsidRPr="00CE2B3B">
        <w:rPr>
          <w:rFonts w:ascii="Calibri" w:eastAsia="Calibri" w:hAnsi="Calibri" w:cs="Times New Roman"/>
          <w:color w:val="FF0000"/>
          <w:kern w:val="2"/>
          <w:lang w:eastAsia="en-US"/>
          <w14:ligatures w14:val="standardContextual"/>
        </w:rPr>
        <w:t>y los restantes cuya circulación no esté prohibida, cuando el envío se realice como carta o como paquete postal de hasta 2 y 10 kilogramos, respectivamente</w:t>
      </w:r>
    </w:p>
    <w:p w14:paraId="486C4192" w14:textId="77777777" w:rsidR="00CE2B3B" w:rsidRPr="00CE2B3B" w:rsidRDefault="00CE2B3B" w:rsidP="00CE2B3B">
      <w:pPr>
        <w:spacing w:after="0" w:line="240" w:lineRule="auto"/>
        <w:jc w:val="both"/>
        <w:rPr>
          <w:rFonts w:ascii="Calibri" w:eastAsia="Calibri" w:hAnsi="Calibri" w:cs="Times New Roman"/>
          <w:kern w:val="2"/>
          <w:lang w:eastAsia="en-US"/>
          <w14:ligatures w14:val="standardContextual"/>
        </w:rPr>
      </w:pPr>
      <w:r w:rsidRPr="00CE2B3B">
        <w:rPr>
          <w:rFonts w:ascii="Calibri" w:eastAsia="Calibri" w:hAnsi="Calibri" w:cs="Times New Roman"/>
          <w:kern w:val="2"/>
          <w:lang w:eastAsia="en-US"/>
          <w14:ligatures w14:val="standardContextual"/>
        </w:rPr>
        <w:t>Esta pregunta no tiene ninguna respuesta correcta.</w:t>
      </w:r>
    </w:p>
    <w:p w14:paraId="7C1C5939" w14:textId="77777777" w:rsidR="00CE2B3B" w:rsidRPr="00CE2B3B" w:rsidRDefault="00CE2B3B" w:rsidP="00CE2B3B">
      <w:pPr>
        <w:spacing w:after="0" w:line="240" w:lineRule="auto"/>
        <w:ind w:left="10" w:right="3" w:hanging="10"/>
        <w:jc w:val="both"/>
        <w:rPr>
          <w:rFonts w:ascii="Calibri" w:eastAsia="Times New Roman" w:hAnsi="Calibri" w:cs="Calibri"/>
          <w:color w:val="000000"/>
          <w:kern w:val="2"/>
          <w:sz w:val="20"/>
          <w:szCs w:val="18"/>
          <w14:ligatures w14:val="standardContextual"/>
        </w:rPr>
      </w:pPr>
    </w:p>
    <w:p w14:paraId="0EF7EB4C" w14:textId="77777777" w:rsidR="007E06D6" w:rsidRDefault="007E06D6" w:rsidP="00CE2B3B">
      <w:pPr>
        <w:tabs>
          <w:tab w:val="left" w:pos="1134"/>
        </w:tabs>
        <w:spacing w:after="120" w:line="240" w:lineRule="auto"/>
        <w:jc w:val="both"/>
        <w:rPr>
          <w:b/>
        </w:rPr>
      </w:pPr>
    </w:p>
    <w:p w14:paraId="1FB61AB1" w14:textId="2495DA2C" w:rsidR="00CB5452" w:rsidRPr="00872D96" w:rsidRDefault="00492FEC" w:rsidP="00B004FD">
      <w:pPr>
        <w:spacing w:after="120"/>
        <w:jc w:val="both"/>
        <w:rPr>
          <w:rFonts w:cstheme="minorHAnsi"/>
          <w:b/>
        </w:rPr>
      </w:pPr>
      <w:r w:rsidRPr="00CE2B3B">
        <w:rPr>
          <w:rFonts w:cstheme="minorHAnsi"/>
          <w:b/>
          <w:u w:val="single"/>
        </w:rPr>
        <w:t>SE SOLICITA</w:t>
      </w:r>
      <w:r w:rsidRPr="00010906">
        <w:rPr>
          <w:rFonts w:cstheme="minorHAnsi"/>
          <w:b/>
        </w:rPr>
        <w:t xml:space="preserve"> AL TRIBUNAL DE SELECCIÓN </w:t>
      </w:r>
      <w:r w:rsidR="00CE2B3B">
        <w:rPr>
          <w:rFonts w:cstheme="minorHAnsi"/>
          <w:b/>
        </w:rPr>
        <w:t>LA</w:t>
      </w:r>
      <w:r w:rsidR="00733E24">
        <w:rPr>
          <w:rFonts w:cstheme="minorHAnsi"/>
          <w:b/>
        </w:rPr>
        <w:t xml:space="preserve"> ANULACIÓN DE LAS PREGUNTAS</w:t>
      </w:r>
      <w:r w:rsidR="00CE2B3B">
        <w:rPr>
          <w:rFonts w:cstheme="minorHAnsi"/>
          <w:b/>
        </w:rPr>
        <w:t xml:space="preserve"> TODAS LAS PREGUNTAS ANTERIORMENTE CITADAS</w:t>
      </w:r>
    </w:p>
    <w:p w14:paraId="7C690ED0" w14:textId="77777777" w:rsidR="00552966" w:rsidRDefault="00552966" w:rsidP="00B004FD">
      <w:pPr>
        <w:tabs>
          <w:tab w:val="left" w:pos="1134"/>
        </w:tabs>
        <w:spacing w:after="120" w:line="240" w:lineRule="auto"/>
        <w:jc w:val="both"/>
      </w:pPr>
    </w:p>
    <w:p w14:paraId="7D9F3E96" w14:textId="60461A3A" w:rsidR="001D4862" w:rsidRPr="00010906" w:rsidRDefault="00492FEC" w:rsidP="004B7CF1">
      <w:pPr>
        <w:tabs>
          <w:tab w:val="left" w:pos="1134"/>
        </w:tabs>
        <w:spacing w:after="0" w:line="240" w:lineRule="auto"/>
        <w:jc w:val="both"/>
      </w:pPr>
      <w:r w:rsidRPr="00010906">
        <w:t>En ___________</w:t>
      </w:r>
      <w:r w:rsidR="00223F3E" w:rsidRPr="00010906">
        <w:t>,</w:t>
      </w:r>
      <w:r w:rsidR="004B7CF1" w:rsidRPr="00010906">
        <w:t xml:space="preserve"> </w:t>
      </w:r>
      <w:r w:rsidRPr="00010906">
        <w:t xml:space="preserve">a ____ de </w:t>
      </w:r>
      <w:r w:rsidR="00010906">
        <w:t>julio de 2023</w:t>
      </w:r>
    </w:p>
    <w:p w14:paraId="6130ED5C" w14:textId="77777777" w:rsidR="00492FEC" w:rsidRPr="00010906" w:rsidRDefault="00873CD7" w:rsidP="004B7CF1">
      <w:pPr>
        <w:tabs>
          <w:tab w:val="left" w:pos="1134"/>
        </w:tabs>
        <w:spacing w:after="0" w:line="240" w:lineRule="auto"/>
        <w:ind w:left="4820"/>
        <w:jc w:val="both"/>
      </w:pPr>
      <w:r w:rsidRPr="00010906">
        <w:t xml:space="preserve"> </w:t>
      </w:r>
    </w:p>
    <w:p w14:paraId="2D0EDFC7" w14:textId="77777777" w:rsidR="00492FEC" w:rsidRPr="00010906" w:rsidRDefault="00492FEC" w:rsidP="00492FEC">
      <w:pPr>
        <w:tabs>
          <w:tab w:val="left" w:pos="1134"/>
        </w:tabs>
        <w:spacing w:after="0" w:line="240" w:lineRule="auto"/>
        <w:jc w:val="both"/>
      </w:pPr>
    </w:p>
    <w:p w14:paraId="2EABAAB6" w14:textId="77777777" w:rsidR="000023B0" w:rsidRDefault="000023B0" w:rsidP="00492FEC">
      <w:pPr>
        <w:tabs>
          <w:tab w:val="left" w:pos="1134"/>
        </w:tabs>
        <w:spacing w:after="0" w:line="240" w:lineRule="auto"/>
        <w:jc w:val="both"/>
      </w:pPr>
      <w:r w:rsidRPr="00010906">
        <w:t>D/Dª</w:t>
      </w:r>
    </w:p>
    <w:p w14:paraId="11783EA7" w14:textId="77777777" w:rsidR="00010906" w:rsidRPr="00010906" w:rsidRDefault="00010906" w:rsidP="00492FEC">
      <w:pPr>
        <w:tabs>
          <w:tab w:val="left" w:pos="1134"/>
        </w:tabs>
        <w:spacing w:after="0" w:line="240" w:lineRule="auto"/>
        <w:jc w:val="both"/>
      </w:pPr>
    </w:p>
    <w:p w14:paraId="0EC9BB4E" w14:textId="0AE5FAA3" w:rsidR="00761DB7" w:rsidRDefault="001D4862" w:rsidP="00010906">
      <w:pPr>
        <w:tabs>
          <w:tab w:val="left" w:pos="1134"/>
        </w:tabs>
        <w:spacing w:after="0" w:line="240" w:lineRule="auto"/>
        <w:jc w:val="both"/>
      </w:pPr>
      <w:r w:rsidRPr="00010906">
        <w:t xml:space="preserve">Fdo.                  </w:t>
      </w:r>
    </w:p>
    <w:p w14:paraId="33CCFE4E" w14:textId="0F04440C" w:rsidR="00761DB7" w:rsidRDefault="00761DB7"/>
    <w:sectPr w:rsidR="00761DB7" w:rsidSect="00975AA7">
      <w:pgSz w:w="11906" w:h="16838"/>
      <w:pgMar w:top="720" w:right="720" w:bottom="720" w:left="720"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7D6C" w14:textId="77777777" w:rsidR="00182EEF" w:rsidRDefault="00182EEF" w:rsidP="00223F3E">
      <w:pPr>
        <w:spacing w:after="0" w:line="240" w:lineRule="auto"/>
      </w:pPr>
      <w:r>
        <w:separator/>
      </w:r>
    </w:p>
  </w:endnote>
  <w:endnote w:type="continuationSeparator" w:id="0">
    <w:p w14:paraId="3C0219C6" w14:textId="77777777" w:rsidR="00182EEF" w:rsidRDefault="00182EEF" w:rsidP="0022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6331" w14:textId="77777777" w:rsidR="00182EEF" w:rsidRDefault="00182EEF" w:rsidP="00223F3E">
      <w:pPr>
        <w:spacing w:after="0" w:line="240" w:lineRule="auto"/>
      </w:pPr>
      <w:r>
        <w:separator/>
      </w:r>
    </w:p>
  </w:footnote>
  <w:footnote w:type="continuationSeparator" w:id="0">
    <w:p w14:paraId="4B7271D9" w14:textId="77777777" w:rsidR="00182EEF" w:rsidRDefault="00182EEF" w:rsidP="00223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81E"/>
    <w:multiLevelType w:val="hybridMultilevel"/>
    <w:tmpl w:val="45E48B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C85333"/>
    <w:multiLevelType w:val="hybridMultilevel"/>
    <w:tmpl w:val="171A8D3E"/>
    <w:lvl w:ilvl="0" w:tplc="6646281C">
      <w:numFmt w:val="bullet"/>
      <w:lvlText w:val="-"/>
      <w:lvlJc w:val="left"/>
      <w:pPr>
        <w:ind w:left="720" w:hanging="360"/>
      </w:pPr>
      <w:rPr>
        <w:rFonts w:ascii="Calibri" w:eastAsia="MS Minngs" w:hAnsi="Calibri"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15:restartNumberingAfterBreak="0">
    <w:nsid w:val="0D2D3879"/>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51640C"/>
    <w:multiLevelType w:val="hybridMultilevel"/>
    <w:tmpl w:val="971CB2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CE6241"/>
    <w:multiLevelType w:val="hybridMultilevel"/>
    <w:tmpl w:val="45E48B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951E4B"/>
    <w:multiLevelType w:val="hybridMultilevel"/>
    <w:tmpl w:val="2AAECA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496018"/>
    <w:multiLevelType w:val="hybridMultilevel"/>
    <w:tmpl w:val="84E0FA9E"/>
    <w:lvl w:ilvl="0" w:tplc="DE32A56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2E3CDA"/>
    <w:multiLevelType w:val="hybridMultilevel"/>
    <w:tmpl w:val="9982C0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0CF4AD9"/>
    <w:multiLevelType w:val="hybridMultilevel"/>
    <w:tmpl w:val="65F02D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9D5995"/>
    <w:multiLevelType w:val="hybridMultilevel"/>
    <w:tmpl w:val="E8D4C5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8322D76"/>
    <w:multiLevelType w:val="hybridMultilevel"/>
    <w:tmpl w:val="E4843BB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E437D06"/>
    <w:multiLevelType w:val="hybridMultilevel"/>
    <w:tmpl w:val="5B9269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90D63E6"/>
    <w:multiLevelType w:val="hybridMultilevel"/>
    <w:tmpl w:val="9982C0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076CCF"/>
    <w:multiLevelType w:val="hybridMultilevel"/>
    <w:tmpl w:val="2AAECA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92A201B"/>
    <w:multiLevelType w:val="hybridMultilevel"/>
    <w:tmpl w:val="45E48B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1A5DEE"/>
    <w:multiLevelType w:val="hybridMultilevel"/>
    <w:tmpl w:val="5C161B56"/>
    <w:lvl w:ilvl="0" w:tplc="B0E00AB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D9F0D46"/>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DB11C9"/>
    <w:multiLevelType w:val="hybridMultilevel"/>
    <w:tmpl w:val="2632D4D6"/>
    <w:lvl w:ilvl="0" w:tplc="AA4EE736">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EAC638F"/>
    <w:multiLevelType w:val="hybridMultilevel"/>
    <w:tmpl w:val="45E48B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B75AA5"/>
    <w:multiLevelType w:val="hybridMultilevel"/>
    <w:tmpl w:val="766ED5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BD32BA"/>
    <w:multiLevelType w:val="hybridMultilevel"/>
    <w:tmpl w:val="971CB2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438263F"/>
    <w:multiLevelType w:val="hybridMultilevel"/>
    <w:tmpl w:val="DAF22AE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5696366"/>
    <w:multiLevelType w:val="hybridMultilevel"/>
    <w:tmpl w:val="25908F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D7B7BA5"/>
    <w:multiLevelType w:val="hybridMultilevel"/>
    <w:tmpl w:val="6A1E91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E1401AE"/>
    <w:multiLevelType w:val="hybridMultilevel"/>
    <w:tmpl w:val="25908F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B2526E"/>
    <w:multiLevelType w:val="hybridMultilevel"/>
    <w:tmpl w:val="FAB0F4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011F6D"/>
    <w:multiLevelType w:val="hybridMultilevel"/>
    <w:tmpl w:val="45E48B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E3B19D7"/>
    <w:multiLevelType w:val="hybridMultilevel"/>
    <w:tmpl w:val="F3E683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5D46CA"/>
    <w:multiLevelType w:val="hybridMultilevel"/>
    <w:tmpl w:val="4C0AA2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49830AB"/>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58968F1"/>
    <w:multiLevelType w:val="hybridMultilevel"/>
    <w:tmpl w:val="6708F756"/>
    <w:lvl w:ilvl="0" w:tplc="973EA14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FDA1647"/>
    <w:multiLevelType w:val="hybridMultilevel"/>
    <w:tmpl w:val="CF989C3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33514318">
    <w:abstractNumId w:val="1"/>
  </w:num>
  <w:num w:numId="2" w16cid:durableId="1667709429">
    <w:abstractNumId w:val="9"/>
  </w:num>
  <w:num w:numId="3" w16cid:durableId="660236458">
    <w:abstractNumId w:val="23"/>
  </w:num>
  <w:num w:numId="4" w16cid:durableId="1071275132">
    <w:abstractNumId w:val="27"/>
  </w:num>
  <w:num w:numId="5" w16cid:durableId="427233716">
    <w:abstractNumId w:val="31"/>
  </w:num>
  <w:num w:numId="6" w16cid:durableId="1620793888">
    <w:abstractNumId w:val="10"/>
  </w:num>
  <w:num w:numId="7" w16cid:durableId="191187554">
    <w:abstractNumId w:val="12"/>
  </w:num>
  <w:num w:numId="8" w16cid:durableId="412551699">
    <w:abstractNumId w:val="7"/>
  </w:num>
  <w:num w:numId="9" w16cid:durableId="1121725436">
    <w:abstractNumId w:val="2"/>
  </w:num>
  <w:num w:numId="10" w16cid:durableId="1866945699">
    <w:abstractNumId w:val="16"/>
  </w:num>
  <w:num w:numId="11" w16cid:durableId="686249010">
    <w:abstractNumId w:val="30"/>
  </w:num>
  <w:num w:numId="12" w16cid:durableId="1010716486">
    <w:abstractNumId w:val="3"/>
  </w:num>
  <w:num w:numId="13" w16cid:durableId="1095592334">
    <w:abstractNumId w:val="29"/>
  </w:num>
  <w:num w:numId="14" w16cid:durableId="1997759994">
    <w:abstractNumId w:val="15"/>
  </w:num>
  <w:num w:numId="15" w16cid:durableId="1753312431">
    <w:abstractNumId w:val="6"/>
  </w:num>
  <w:num w:numId="16" w16cid:durableId="1049190573">
    <w:abstractNumId w:val="20"/>
  </w:num>
  <w:num w:numId="17" w16cid:durableId="367028361">
    <w:abstractNumId w:val="8"/>
  </w:num>
  <w:num w:numId="18" w16cid:durableId="1589343824">
    <w:abstractNumId w:val="28"/>
  </w:num>
  <w:num w:numId="19" w16cid:durableId="1720011502">
    <w:abstractNumId w:val="13"/>
  </w:num>
  <w:num w:numId="20" w16cid:durableId="1819688131">
    <w:abstractNumId w:val="19"/>
  </w:num>
  <w:num w:numId="21" w16cid:durableId="1545799406">
    <w:abstractNumId w:val="5"/>
  </w:num>
  <w:num w:numId="22" w16cid:durableId="917249266">
    <w:abstractNumId w:val="21"/>
  </w:num>
  <w:num w:numId="23" w16cid:durableId="1804037888">
    <w:abstractNumId w:val="4"/>
  </w:num>
  <w:num w:numId="24" w16cid:durableId="524364253">
    <w:abstractNumId w:val="18"/>
  </w:num>
  <w:num w:numId="25" w16cid:durableId="726027291">
    <w:abstractNumId w:val="0"/>
  </w:num>
  <w:num w:numId="26" w16cid:durableId="1966886218">
    <w:abstractNumId w:val="14"/>
  </w:num>
  <w:num w:numId="27" w16cid:durableId="1411541958">
    <w:abstractNumId w:val="22"/>
  </w:num>
  <w:num w:numId="28" w16cid:durableId="1625892262">
    <w:abstractNumId w:val="24"/>
  </w:num>
  <w:num w:numId="29" w16cid:durableId="69736694">
    <w:abstractNumId w:val="17"/>
  </w:num>
  <w:num w:numId="30" w16cid:durableId="1447046438">
    <w:abstractNumId w:val="26"/>
  </w:num>
  <w:num w:numId="31" w16cid:durableId="1108501736">
    <w:abstractNumId w:val="11"/>
  </w:num>
  <w:num w:numId="32" w16cid:durableId="17007442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3B0"/>
    <w:rsid w:val="000023B0"/>
    <w:rsid w:val="00010906"/>
    <w:rsid w:val="000F5B77"/>
    <w:rsid w:val="00105F58"/>
    <w:rsid w:val="00107DA3"/>
    <w:rsid w:val="001666D0"/>
    <w:rsid w:val="00182EEF"/>
    <w:rsid w:val="001C3D45"/>
    <w:rsid w:val="001D24B6"/>
    <w:rsid w:val="001D4862"/>
    <w:rsid w:val="001F5DA2"/>
    <w:rsid w:val="00223F3E"/>
    <w:rsid w:val="0026405B"/>
    <w:rsid w:val="002B2D3E"/>
    <w:rsid w:val="002B64C5"/>
    <w:rsid w:val="002F1114"/>
    <w:rsid w:val="002F2848"/>
    <w:rsid w:val="00334DED"/>
    <w:rsid w:val="003B36FF"/>
    <w:rsid w:val="00421CB9"/>
    <w:rsid w:val="00426BB4"/>
    <w:rsid w:val="0043329C"/>
    <w:rsid w:val="00437A7C"/>
    <w:rsid w:val="00473EEF"/>
    <w:rsid w:val="00483ACE"/>
    <w:rsid w:val="00491F46"/>
    <w:rsid w:val="00492FEC"/>
    <w:rsid w:val="00495424"/>
    <w:rsid w:val="004A6115"/>
    <w:rsid w:val="004A67AE"/>
    <w:rsid w:val="004B7CF1"/>
    <w:rsid w:val="004E42F5"/>
    <w:rsid w:val="00506A57"/>
    <w:rsid w:val="00540B1F"/>
    <w:rsid w:val="00552966"/>
    <w:rsid w:val="00553401"/>
    <w:rsid w:val="005A58B1"/>
    <w:rsid w:val="006244B2"/>
    <w:rsid w:val="006A53DD"/>
    <w:rsid w:val="006D66AD"/>
    <w:rsid w:val="006E0FF1"/>
    <w:rsid w:val="006E4AAC"/>
    <w:rsid w:val="00705AB3"/>
    <w:rsid w:val="00733E24"/>
    <w:rsid w:val="007533B0"/>
    <w:rsid w:val="00761DB7"/>
    <w:rsid w:val="00763B6F"/>
    <w:rsid w:val="0077673D"/>
    <w:rsid w:val="007B3691"/>
    <w:rsid w:val="007D321D"/>
    <w:rsid w:val="007E06D6"/>
    <w:rsid w:val="008112E1"/>
    <w:rsid w:val="00861603"/>
    <w:rsid w:val="00872D96"/>
    <w:rsid w:val="00873CD7"/>
    <w:rsid w:val="008C57D5"/>
    <w:rsid w:val="009246F3"/>
    <w:rsid w:val="00925D4B"/>
    <w:rsid w:val="00975AA7"/>
    <w:rsid w:val="009A3C74"/>
    <w:rsid w:val="009B25B1"/>
    <w:rsid w:val="009C69B0"/>
    <w:rsid w:val="009F50D9"/>
    <w:rsid w:val="00A14732"/>
    <w:rsid w:val="00A16B21"/>
    <w:rsid w:val="00A677F0"/>
    <w:rsid w:val="00A82DD7"/>
    <w:rsid w:val="00A84AE2"/>
    <w:rsid w:val="00AA2EFE"/>
    <w:rsid w:val="00B004FD"/>
    <w:rsid w:val="00B35777"/>
    <w:rsid w:val="00B8562C"/>
    <w:rsid w:val="00B86CA7"/>
    <w:rsid w:val="00B904E8"/>
    <w:rsid w:val="00B93D3D"/>
    <w:rsid w:val="00B96B9A"/>
    <w:rsid w:val="00BA7510"/>
    <w:rsid w:val="00C17F88"/>
    <w:rsid w:val="00C26DE8"/>
    <w:rsid w:val="00C5748D"/>
    <w:rsid w:val="00C679A2"/>
    <w:rsid w:val="00C90E23"/>
    <w:rsid w:val="00CB5197"/>
    <w:rsid w:val="00CB5452"/>
    <w:rsid w:val="00CE2B3B"/>
    <w:rsid w:val="00CF6F16"/>
    <w:rsid w:val="00D5365F"/>
    <w:rsid w:val="00D54D73"/>
    <w:rsid w:val="00D621BD"/>
    <w:rsid w:val="00DA1EB3"/>
    <w:rsid w:val="00E2295A"/>
    <w:rsid w:val="00E82391"/>
    <w:rsid w:val="00EA6175"/>
    <w:rsid w:val="00ED6600"/>
    <w:rsid w:val="00EF3040"/>
    <w:rsid w:val="00EF41D1"/>
    <w:rsid w:val="00F37627"/>
    <w:rsid w:val="00F906E5"/>
    <w:rsid w:val="00FB3FD6"/>
    <w:rsid w:val="00FE7D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FAFFB"/>
  <w15:docId w15:val="{1935174B-E691-4536-AE18-B6409355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23B0"/>
    <w:pPr>
      <w:ind w:left="720"/>
    </w:pPr>
    <w:rPr>
      <w:rFonts w:ascii="Calibri" w:eastAsia="MS Minngs" w:hAnsi="Calibri" w:cs="Calibri"/>
    </w:rPr>
  </w:style>
  <w:style w:type="paragraph" w:styleId="Encabezado">
    <w:name w:val="header"/>
    <w:basedOn w:val="Normal"/>
    <w:link w:val="EncabezadoCar"/>
    <w:uiPriority w:val="99"/>
    <w:unhideWhenUsed/>
    <w:rsid w:val="00223F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3F3E"/>
  </w:style>
  <w:style w:type="paragraph" w:styleId="Piedepgina">
    <w:name w:val="footer"/>
    <w:basedOn w:val="Normal"/>
    <w:link w:val="PiedepginaCar"/>
    <w:uiPriority w:val="99"/>
    <w:unhideWhenUsed/>
    <w:rsid w:val="00223F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3F3E"/>
  </w:style>
  <w:style w:type="paragraph" w:customStyle="1" w:styleId="articulo">
    <w:name w:val="articulo"/>
    <w:basedOn w:val="Normal"/>
    <w:rsid w:val="002F28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2F2848"/>
    <w:pPr>
      <w:spacing w:before="100" w:beforeAutospacing="1" w:after="100" w:afterAutospacing="1" w:line="240" w:lineRule="auto"/>
    </w:pPr>
    <w:rPr>
      <w:rFonts w:ascii="Times New Roman" w:eastAsia="Times New Roman" w:hAnsi="Times New Roman" w:cs="Times New Roman"/>
      <w:sz w:val="24"/>
      <w:szCs w:val="24"/>
    </w:rPr>
  </w:style>
  <w:style w:type="paragraph" w:styleId="Sangra3detindependiente">
    <w:name w:val="Body Text Indent 3"/>
    <w:basedOn w:val="Normal"/>
    <w:link w:val="Sangra3detindependienteCar"/>
    <w:rsid w:val="004B7CF1"/>
    <w:pPr>
      <w:spacing w:after="0" w:line="240" w:lineRule="auto"/>
      <w:ind w:right="-1" w:firstLine="567"/>
      <w:jc w:val="center"/>
    </w:pPr>
    <w:rPr>
      <w:rFonts w:ascii="Arial" w:eastAsia="Times New Roman" w:hAnsi="Arial" w:cs="Times New Roman"/>
      <w:b/>
      <w:sz w:val="28"/>
      <w:szCs w:val="20"/>
      <w:lang w:val="es-ES_tradnl"/>
    </w:rPr>
  </w:style>
  <w:style w:type="character" w:customStyle="1" w:styleId="Sangra3detindependienteCar">
    <w:name w:val="Sangría 3 de t. independiente Car"/>
    <w:basedOn w:val="Fuentedeprrafopredeter"/>
    <w:link w:val="Sangra3detindependiente"/>
    <w:rsid w:val="004B7CF1"/>
    <w:rPr>
      <w:rFonts w:ascii="Arial" w:eastAsia="Times New Roman" w:hAnsi="Arial" w:cs="Times New Roman"/>
      <w:b/>
      <w:sz w:val="28"/>
      <w:szCs w:val="20"/>
      <w:lang w:val="es-ES_tradnl"/>
    </w:rPr>
  </w:style>
  <w:style w:type="paragraph" w:customStyle="1" w:styleId="gmail-parrafo">
    <w:name w:val="gmail-parrafo"/>
    <w:basedOn w:val="Normal"/>
    <w:rsid w:val="00733E24"/>
    <w:pPr>
      <w:spacing w:before="100" w:beforeAutospacing="1" w:after="100" w:afterAutospacing="1"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9276">
      <w:bodyDiv w:val="1"/>
      <w:marLeft w:val="0"/>
      <w:marRight w:val="0"/>
      <w:marTop w:val="0"/>
      <w:marBottom w:val="0"/>
      <w:divBdr>
        <w:top w:val="none" w:sz="0" w:space="0" w:color="auto"/>
        <w:left w:val="none" w:sz="0" w:space="0" w:color="auto"/>
        <w:bottom w:val="none" w:sz="0" w:space="0" w:color="auto"/>
        <w:right w:val="none" w:sz="0" w:space="0" w:color="auto"/>
      </w:divBdr>
    </w:div>
    <w:div w:id="448859875">
      <w:bodyDiv w:val="1"/>
      <w:marLeft w:val="0"/>
      <w:marRight w:val="0"/>
      <w:marTop w:val="0"/>
      <w:marBottom w:val="0"/>
      <w:divBdr>
        <w:top w:val="none" w:sz="0" w:space="0" w:color="auto"/>
        <w:left w:val="none" w:sz="0" w:space="0" w:color="auto"/>
        <w:bottom w:val="none" w:sz="0" w:space="0" w:color="auto"/>
        <w:right w:val="none" w:sz="0" w:space="0" w:color="auto"/>
      </w:divBdr>
    </w:div>
    <w:div w:id="762914489">
      <w:bodyDiv w:val="1"/>
      <w:marLeft w:val="0"/>
      <w:marRight w:val="0"/>
      <w:marTop w:val="0"/>
      <w:marBottom w:val="0"/>
      <w:divBdr>
        <w:top w:val="none" w:sz="0" w:space="0" w:color="auto"/>
        <w:left w:val="none" w:sz="0" w:space="0" w:color="auto"/>
        <w:bottom w:val="none" w:sz="0" w:space="0" w:color="auto"/>
        <w:right w:val="none" w:sz="0" w:space="0" w:color="auto"/>
      </w:divBdr>
    </w:div>
    <w:div w:id="1577788382">
      <w:bodyDiv w:val="1"/>
      <w:marLeft w:val="0"/>
      <w:marRight w:val="0"/>
      <w:marTop w:val="0"/>
      <w:marBottom w:val="0"/>
      <w:divBdr>
        <w:top w:val="none" w:sz="0" w:space="0" w:color="auto"/>
        <w:left w:val="none" w:sz="0" w:space="0" w:color="auto"/>
        <w:bottom w:val="none" w:sz="0" w:space="0" w:color="auto"/>
        <w:right w:val="none" w:sz="0" w:space="0" w:color="auto"/>
      </w:divBdr>
    </w:div>
    <w:div w:id="195508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2611</Words>
  <Characters>14365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Inma Ayuso</cp:lastModifiedBy>
  <cp:revision>3</cp:revision>
  <cp:lastPrinted>2019-03-13T18:38:00Z</cp:lastPrinted>
  <dcterms:created xsi:type="dcterms:W3CDTF">2023-07-12T07:06:00Z</dcterms:created>
  <dcterms:modified xsi:type="dcterms:W3CDTF">2023-07-12T07:07:00Z</dcterms:modified>
</cp:coreProperties>
</file>